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E4" w:rsidRPr="005451A6" w:rsidRDefault="002859E4" w:rsidP="005451A6">
      <w:pPr>
        <w:jc w:val="center"/>
        <w:rPr>
          <w:snapToGrid w:val="0"/>
          <w:szCs w:val="24"/>
          <w:lang w:val="fr-FR"/>
        </w:rPr>
      </w:pPr>
      <w:bookmarkStart w:id="0" w:name="_GoBack"/>
      <w:bookmarkEnd w:id="0"/>
    </w:p>
    <w:p w:rsidR="002859E4" w:rsidRPr="005451A6" w:rsidRDefault="002859E4" w:rsidP="005451A6">
      <w:pPr>
        <w:jc w:val="center"/>
        <w:rPr>
          <w:snapToGrid w:val="0"/>
          <w:szCs w:val="24"/>
          <w:lang w:val="fr-FR"/>
        </w:rPr>
      </w:pPr>
    </w:p>
    <w:p w:rsidR="00E77CB3" w:rsidRPr="005451A6" w:rsidRDefault="00E77CB3" w:rsidP="005451A6">
      <w:pPr>
        <w:jc w:val="center"/>
        <w:rPr>
          <w:lang w:val="fr-FR"/>
        </w:rPr>
      </w:pPr>
    </w:p>
    <w:p w:rsidR="00E77CB3" w:rsidRPr="005451A6" w:rsidRDefault="000C6143" w:rsidP="005451A6">
      <w:pPr>
        <w:jc w:val="center"/>
        <w:rPr>
          <w:lang w:val="fr-FR"/>
        </w:rPr>
      </w:pPr>
      <w:r w:rsidRPr="005451A6">
        <w:rPr>
          <w:lang w:val="fr-FR"/>
        </w:rPr>
        <w:t>PREMIÈRE SECTION</w:t>
      </w:r>
    </w:p>
    <w:p w:rsidR="00E77CB3" w:rsidRPr="005451A6" w:rsidRDefault="00E77CB3" w:rsidP="005451A6">
      <w:pPr>
        <w:jc w:val="center"/>
        <w:rPr>
          <w:lang w:val="fr-FR"/>
        </w:rPr>
      </w:pPr>
    </w:p>
    <w:p w:rsidR="002859E4" w:rsidRPr="005451A6" w:rsidRDefault="002859E4" w:rsidP="005451A6">
      <w:pPr>
        <w:jc w:val="center"/>
        <w:rPr>
          <w:lang w:val="fr-FR"/>
        </w:rPr>
      </w:pPr>
    </w:p>
    <w:p w:rsidR="002859E4" w:rsidRPr="005451A6" w:rsidRDefault="002859E4" w:rsidP="005451A6">
      <w:pPr>
        <w:jc w:val="center"/>
        <w:rPr>
          <w:lang w:val="fr-FR"/>
        </w:rPr>
      </w:pPr>
    </w:p>
    <w:p w:rsidR="002859E4" w:rsidRPr="005451A6" w:rsidRDefault="002859E4" w:rsidP="005451A6">
      <w:pPr>
        <w:jc w:val="center"/>
        <w:rPr>
          <w:lang w:val="fr-FR"/>
        </w:rPr>
      </w:pPr>
    </w:p>
    <w:p w:rsidR="002859E4" w:rsidRPr="005451A6" w:rsidRDefault="002859E4" w:rsidP="005451A6">
      <w:pPr>
        <w:jc w:val="center"/>
        <w:rPr>
          <w:lang w:val="fr-FR"/>
        </w:rPr>
      </w:pPr>
    </w:p>
    <w:p w:rsidR="002859E4" w:rsidRPr="005451A6" w:rsidRDefault="002859E4" w:rsidP="005451A6">
      <w:pPr>
        <w:jc w:val="center"/>
        <w:rPr>
          <w:lang w:val="fr-FR"/>
        </w:rPr>
      </w:pPr>
    </w:p>
    <w:p w:rsidR="00E77CB3" w:rsidRPr="005451A6" w:rsidRDefault="00E77CB3" w:rsidP="005451A6">
      <w:pPr>
        <w:jc w:val="center"/>
        <w:rPr>
          <w:b/>
          <w:lang w:val="fr-FR"/>
        </w:rPr>
      </w:pPr>
      <w:bookmarkStart w:id="1" w:name="To"/>
      <w:r w:rsidRPr="005451A6">
        <w:rPr>
          <w:b/>
          <w:lang w:val="fr-FR"/>
        </w:rPr>
        <w:t xml:space="preserve">AFFAIRE </w:t>
      </w:r>
      <w:bookmarkEnd w:id="1"/>
      <w:r w:rsidR="000C6143" w:rsidRPr="005451A6">
        <w:rPr>
          <w:b/>
          <w:lang w:val="fr-FR"/>
        </w:rPr>
        <w:t>TREVISANATO c. ITALIE</w:t>
      </w:r>
    </w:p>
    <w:p w:rsidR="00E77CB3" w:rsidRPr="005451A6" w:rsidRDefault="00E77CB3" w:rsidP="005451A6">
      <w:pPr>
        <w:jc w:val="center"/>
        <w:rPr>
          <w:lang w:val="fr-FR"/>
        </w:rPr>
      </w:pPr>
    </w:p>
    <w:p w:rsidR="00097D97" w:rsidRPr="005451A6" w:rsidRDefault="00E77CB3" w:rsidP="005451A6">
      <w:pPr>
        <w:jc w:val="center"/>
        <w:rPr>
          <w:i/>
          <w:lang w:val="fr-FR"/>
        </w:rPr>
      </w:pPr>
      <w:r w:rsidRPr="005451A6">
        <w:rPr>
          <w:i/>
          <w:lang w:val="fr-FR"/>
        </w:rPr>
        <w:t>(</w:t>
      </w:r>
      <w:r w:rsidR="000C6143" w:rsidRPr="005451A6">
        <w:rPr>
          <w:i/>
          <w:lang w:val="fr-FR"/>
        </w:rPr>
        <w:t>Requête n</w:t>
      </w:r>
      <w:r w:rsidR="000C6143" w:rsidRPr="005451A6">
        <w:rPr>
          <w:i/>
          <w:vertAlign w:val="superscript"/>
          <w:lang w:val="fr-FR"/>
        </w:rPr>
        <w:t>o</w:t>
      </w:r>
      <w:r w:rsidR="000C6143" w:rsidRPr="005451A6">
        <w:rPr>
          <w:i/>
          <w:lang w:val="fr-FR"/>
        </w:rPr>
        <w:t xml:space="preserve"> 32610/07</w:t>
      </w:r>
      <w:r w:rsidRPr="005451A6">
        <w:rPr>
          <w:i/>
          <w:lang w:val="fr-FR"/>
        </w:rPr>
        <w:t>)</w:t>
      </w:r>
    </w:p>
    <w:p w:rsidR="002859E4" w:rsidRPr="005451A6" w:rsidRDefault="002859E4" w:rsidP="005451A6">
      <w:pPr>
        <w:jc w:val="center"/>
        <w:rPr>
          <w:szCs w:val="24"/>
          <w:u w:val="single"/>
          <w:lang w:val="fr-FR"/>
        </w:rPr>
      </w:pPr>
    </w:p>
    <w:p w:rsidR="002859E4" w:rsidRPr="005451A6" w:rsidRDefault="002859E4" w:rsidP="005451A6">
      <w:pPr>
        <w:jc w:val="center"/>
        <w:rPr>
          <w:szCs w:val="24"/>
          <w:u w:val="single"/>
          <w:lang w:val="fr-FR"/>
        </w:rPr>
      </w:pPr>
    </w:p>
    <w:p w:rsidR="002859E4" w:rsidRPr="005451A6" w:rsidRDefault="002859E4" w:rsidP="005451A6">
      <w:pPr>
        <w:jc w:val="center"/>
        <w:rPr>
          <w:szCs w:val="24"/>
          <w:u w:val="single"/>
          <w:lang w:val="fr-FR"/>
        </w:rPr>
      </w:pPr>
    </w:p>
    <w:p w:rsidR="002859E4" w:rsidRPr="005451A6" w:rsidRDefault="002859E4" w:rsidP="005451A6">
      <w:pPr>
        <w:jc w:val="center"/>
        <w:rPr>
          <w:szCs w:val="24"/>
          <w:u w:val="single"/>
          <w:lang w:val="fr-FR"/>
        </w:rPr>
      </w:pPr>
    </w:p>
    <w:p w:rsidR="002859E4" w:rsidRPr="005451A6" w:rsidRDefault="002859E4" w:rsidP="005451A6">
      <w:pPr>
        <w:jc w:val="center"/>
        <w:rPr>
          <w:szCs w:val="24"/>
          <w:u w:val="single"/>
          <w:lang w:val="fr-FR"/>
        </w:rPr>
      </w:pPr>
    </w:p>
    <w:p w:rsidR="002859E4" w:rsidRPr="005451A6" w:rsidRDefault="002859E4" w:rsidP="005451A6">
      <w:pPr>
        <w:jc w:val="center"/>
        <w:rPr>
          <w:szCs w:val="24"/>
          <w:u w:val="single"/>
          <w:lang w:val="fr-FR"/>
        </w:rPr>
      </w:pPr>
    </w:p>
    <w:p w:rsidR="002859E4" w:rsidRPr="005451A6" w:rsidRDefault="002859E4" w:rsidP="005451A6">
      <w:pPr>
        <w:jc w:val="center"/>
        <w:rPr>
          <w:szCs w:val="24"/>
          <w:u w:val="single"/>
          <w:lang w:val="fr-FR"/>
        </w:rPr>
      </w:pPr>
    </w:p>
    <w:p w:rsidR="00CA3D1A" w:rsidRPr="005451A6" w:rsidRDefault="00CA3D1A" w:rsidP="005451A6">
      <w:pPr>
        <w:jc w:val="center"/>
        <w:rPr>
          <w:szCs w:val="24"/>
          <w:u w:val="single"/>
          <w:lang w:val="fr-FR"/>
        </w:rPr>
      </w:pPr>
    </w:p>
    <w:p w:rsidR="00CA3D1A" w:rsidRPr="005451A6" w:rsidRDefault="00CA3D1A" w:rsidP="005451A6">
      <w:pPr>
        <w:jc w:val="center"/>
        <w:rPr>
          <w:szCs w:val="24"/>
          <w:u w:val="single"/>
          <w:lang w:val="fr-FR"/>
        </w:rPr>
      </w:pPr>
    </w:p>
    <w:p w:rsidR="00CA3D1A" w:rsidRPr="005451A6" w:rsidRDefault="00CA3D1A" w:rsidP="005451A6">
      <w:pPr>
        <w:jc w:val="center"/>
        <w:rPr>
          <w:szCs w:val="24"/>
          <w:u w:val="single"/>
          <w:lang w:val="fr-FR"/>
        </w:rPr>
      </w:pPr>
    </w:p>
    <w:p w:rsidR="00CA3D1A" w:rsidRPr="005451A6" w:rsidRDefault="00CA3D1A" w:rsidP="005451A6">
      <w:pPr>
        <w:jc w:val="center"/>
        <w:rPr>
          <w:szCs w:val="24"/>
          <w:u w:val="single"/>
          <w:lang w:val="fr-FR"/>
        </w:rPr>
      </w:pPr>
    </w:p>
    <w:p w:rsidR="002859E4" w:rsidRPr="005451A6" w:rsidRDefault="002859E4" w:rsidP="005451A6">
      <w:pPr>
        <w:jc w:val="center"/>
        <w:rPr>
          <w:szCs w:val="24"/>
          <w:u w:val="single"/>
          <w:lang w:val="fr-FR"/>
        </w:rPr>
      </w:pPr>
    </w:p>
    <w:p w:rsidR="002859E4" w:rsidRPr="005451A6" w:rsidRDefault="002859E4" w:rsidP="005451A6">
      <w:pPr>
        <w:jc w:val="center"/>
        <w:rPr>
          <w:szCs w:val="24"/>
          <w:u w:val="single"/>
          <w:lang w:val="fr-FR"/>
        </w:rPr>
      </w:pPr>
    </w:p>
    <w:p w:rsidR="00C724AC" w:rsidRPr="005451A6" w:rsidRDefault="002859E4" w:rsidP="005451A6">
      <w:pPr>
        <w:jc w:val="center"/>
        <w:rPr>
          <w:szCs w:val="24"/>
          <w:lang w:val="fr-FR"/>
        </w:rPr>
      </w:pPr>
      <w:r w:rsidRPr="005451A6">
        <w:rPr>
          <w:szCs w:val="24"/>
          <w:lang w:val="fr-FR"/>
        </w:rPr>
        <w:t>ARRÊT</w:t>
      </w:r>
    </w:p>
    <w:p w:rsidR="00C724AC" w:rsidRPr="005451A6" w:rsidRDefault="00C724AC" w:rsidP="005451A6">
      <w:pPr>
        <w:jc w:val="center"/>
        <w:rPr>
          <w:szCs w:val="24"/>
          <w:lang w:val="fr-FR"/>
        </w:rPr>
      </w:pPr>
    </w:p>
    <w:p w:rsidR="00C724AC" w:rsidRPr="005451A6" w:rsidRDefault="00C724AC" w:rsidP="005451A6">
      <w:pPr>
        <w:jc w:val="center"/>
        <w:rPr>
          <w:szCs w:val="24"/>
          <w:lang w:val="fr-FR"/>
        </w:rPr>
      </w:pPr>
    </w:p>
    <w:p w:rsidR="00C724AC" w:rsidRPr="005451A6" w:rsidRDefault="002859E4" w:rsidP="005451A6">
      <w:pPr>
        <w:jc w:val="center"/>
        <w:rPr>
          <w:lang w:val="fr-FR"/>
        </w:rPr>
      </w:pPr>
      <w:r w:rsidRPr="005451A6">
        <w:rPr>
          <w:lang w:val="fr-FR"/>
        </w:rPr>
        <w:t>STRASBOURG</w:t>
      </w:r>
    </w:p>
    <w:p w:rsidR="00C724AC" w:rsidRPr="005451A6" w:rsidRDefault="00C724AC" w:rsidP="005451A6">
      <w:pPr>
        <w:jc w:val="center"/>
        <w:rPr>
          <w:lang w:val="fr-FR"/>
        </w:rPr>
      </w:pPr>
    </w:p>
    <w:p w:rsidR="00C724AC" w:rsidRPr="005451A6" w:rsidRDefault="00C724AC" w:rsidP="005451A6">
      <w:pPr>
        <w:jc w:val="center"/>
        <w:rPr>
          <w:lang w:val="fr-FR"/>
        </w:rPr>
      </w:pPr>
    </w:p>
    <w:p w:rsidR="00C724AC" w:rsidRPr="005451A6" w:rsidRDefault="002859E4" w:rsidP="005451A6">
      <w:pPr>
        <w:jc w:val="center"/>
        <w:rPr>
          <w:lang w:val="fr-FR"/>
        </w:rPr>
      </w:pPr>
      <w:r w:rsidRPr="005451A6">
        <w:rPr>
          <w:lang w:val="fr-FR"/>
        </w:rPr>
        <w:t>15 septembre 2016</w:t>
      </w:r>
    </w:p>
    <w:p w:rsidR="00C724AC" w:rsidRPr="005451A6" w:rsidRDefault="00C724AC" w:rsidP="005451A6">
      <w:pPr>
        <w:jc w:val="center"/>
        <w:rPr>
          <w:lang w:val="fr-FR"/>
        </w:rPr>
      </w:pPr>
    </w:p>
    <w:p w:rsidR="00C724AC" w:rsidRPr="005451A6" w:rsidRDefault="00C724AC" w:rsidP="005451A6">
      <w:pPr>
        <w:jc w:val="center"/>
        <w:rPr>
          <w:lang w:val="fr-FR"/>
        </w:rPr>
      </w:pPr>
    </w:p>
    <w:p w:rsidR="00C724AC" w:rsidRPr="005451A6" w:rsidRDefault="00C724AC" w:rsidP="005451A6">
      <w:pPr>
        <w:jc w:val="center"/>
        <w:rPr>
          <w:lang w:val="fr-FR"/>
        </w:rPr>
      </w:pPr>
    </w:p>
    <w:p w:rsidR="002859E4" w:rsidRPr="005451A6" w:rsidRDefault="002859E4" w:rsidP="005451A6">
      <w:pPr>
        <w:rPr>
          <w:i/>
          <w:sz w:val="22"/>
          <w:lang w:val="fr-FR"/>
        </w:rPr>
      </w:pPr>
      <w:r w:rsidRPr="005451A6">
        <w:rPr>
          <w:i/>
          <w:sz w:val="22"/>
          <w:lang w:val="fr-FR"/>
        </w:rPr>
        <w:t>Cet arrêt deviendra définitif dans les conditions définies à l</w:t>
      </w:r>
      <w:r w:rsidR="005451A6" w:rsidRPr="005451A6">
        <w:rPr>
          <w:i/>
          <w:sz w:val="22"/>
          <w:lang w:val="fr-FR"/>
        </w:rPr>
        <w:t>’</w:t>
      </w:r>
      <w:r w:rsidRPr="005451A6">
        <w:rPr>
          <w:i/>
          <w:sz w:val="22"/>
          <w:lang w:val="fr-FR"/>
        </w:rPr>
        <w:t>article 44 § 2 de la Convention. Il peut subir des retouches de forme.</w:t>
      </w:r>
    </w:p>
    <w:p w:rsidR="002859E4" w:rsidRPr="005451A6" w:rsidRDefault="002859E4" w:rsidP="005451A6">
      <w:pPr>
        <w:pStyle w:val="ECHRPara"/>
        <w:ind w:firstLine="0"/>
        <w:rPr>
          <w:lang w:val="fr-FR"/>
        </w:rPr>
        <w:sectPr w:rsidR="002859E4" w:rsidRPr="005451A6" w:rsidSect="002859E4">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5451A6" w:rsidRDefault="00E77CB3" w:rsidP="005451A6">
      <w:pPr>
        <w:pStyle w:val="JuCase"/>
        <w:rPr>
          <w:lang w:val="fr-FR"/>
        </w:rPr>
      </w:pPr>
      <w:r w:rsidRPr="005451A6">
        <w:rPr>
          <w:lang w:val="fr-FR"/>
        </w:rPr>
        <w:lastRenderedPageBreak/>
        <w:t>En l</w:t>
      </w:r>
      <w:r w:rsidR="005451A6" w:rsidRPr="005451A6">
        <w:rPr>
          <w:lang w:val="fr-FR"/>
        </w:rPr>
        <w:t>’</w:t>
      </w:r>
      <w:r w:rsidRPr="005451A6">
        <w:rPr>
          <w:lang w:val="fr-FR"/>
        </w:rPr>
        <w:t xml:space="preserve">affaire </w:t>
      </w:r>
      <w:r w:rsidR="000C6143" w:rsidRPr="005451A6">
        <w:rPr>
          <w:lang w:val="fr-FR"/>
        </w:rPr>
        <w:t>Trevisanato c. Italie</w:t>
      </w:r>
      <w:r w:rsidRPr="005451A6">
        <w:rPr>
          <w:lang w:val="fr-FR"/>
        </w:rPr>
        <w:t>,</w:t>
      </w:r>
    </w:p>
    <w:p w:rsidR="00E77CB3" w:rsidRPr="005451A6" w:rsidRDefault="00E77CB3" w:rsidP="005451A6">
      <w:pPr>
        <w:pStyle w:val="ECHRPara"/>
        <w:rPr>
          <w:lang w:val="fr-FR"/>
        </w:rPr>
      </w:pPr>
      <w:r w:rsidRPr="005451A6">
        <w:rPr>
          <w:lang w:val="fr-FR"/>
        </w:rPr>
        <w:t>La Cour européenne des droits de l</w:t>
      </w:r>
      <w:r w:rsidR="005451A6" w:rsidRPr="005451A6">
        <w:rPr>
          <w:lang w:val="fr-FR"/>
        </w:rPr>
        <w:t>’</w:t>
      </w:r>
      <w:r w:rsidRPr="005451A6">
        <w:rPr>
          <w:lang w:val="fr-FR"/>
        </w:rPr>
        <w:t>homme (</w:t>
      </w:r>
      <w:r w:rsidR="000C6143" w:rsidRPr="005451A6">
        <w:rPr>
          <w:lang w:val="fr-FR"/>
        </w:rPr>
        <w:t>première section</w:t>
      </w:r>
      <w:r w:rsidRPr="005451A6">
        <w:rPr>
          <w:lang w:val="fr-FR"/>
        </w:rPr>
        <w:t xml:space="preserve">), siégeant en </w:t>
      </w:r>
      <w:r w:rsidR="000C6143" w:rsidRPr="005451A6">
        <w:rPr>
          <w:lang w:val="fr-FR"/>
        </w:rPr>
        <w:t>une chambre composée</w:t>
      </w:r>
      <w:r w:rsidRPr="005451A6">
        <w:rPr>
          <w:lang w:val="fr-FR"/>
        </w:rPr>
        <w:t xml:space="preserve"> de :</w:t>
      </w:r>
    </w:p>
    <w:p w:rsidR="00E77CB3" w:rsidRPr="005451A6" w:rsidRDefault="00097D97" w:rsidP="005451A6">
      <w:pPr>
        <w:pStyle w:val="ECHRDecisionBody"/>
        <w:rPr>
          <w:lang w:val="fr-FR"/>
        </w:rPr>
      </w:pPr>
      <w:r w:rsidRPr="005451A6">
        <w:rPr>
          <w:lang w:val="fr-FR"/>
        </w:rPr>
        <w:tab/>
        <w:t>Mirjana Lazarova Trajkovska,</w:t>
      </w:r>
      <w:r w:rsidRPr="005451A6">
        <w:rPr>
          <w:i/>
          <w:lang w:val="fr-FR"/>
        </w:rPr>
        <w:t xml:space="preserve"> présidente,</w:t>
      </w:r>
      <w:r w:rsidRPr="005451A6">
        <w:rPr>
          <w:i/>
          <w:lang w:val="fr-FR"/>
        </w:rPr>
        <w:br/>
      </w:r>
      <w:r w:rsidRPr="005451A6">
        <w:rPr>
          <w:lang w:val="fr-FR"/>
        </w:rPr>
        <w:tab/>
        <w:t>Ledi Bianku,</w:t>
      </w:r>
      <w:r w:rsidRPr="005451A6">
        <w:rPr>
          <w:i/>
          <w:lang w:val="fr-FR"/>
        </w:rPr>
        <w:br/>
      </w:r>
      <w:r w:rsidRPr="005451A6">
        <w:rPr>
          <w:lang w:val="fr-FR"/>
        </w:rPr>
        <w:tab/>
        <w:t>Guido Raimondi,</w:t>
      </w:r>
      <w:r w:rsidRPr="005451A6">
        <w:rPr>
          <w:i/>
          <w:lang w:val="fr-FR"/>
        </w:rPr>
        <w:br/>
      </w:r>
      <w:r w:rsidRPr="005451A6">
        <w:rPr>
          <w:lang w:val="fr-FR"/>
        </w:rPr>
        <w:tab/>
        <w:t>Kristina Pardalos,</w:t>
      </w:r>
      <w:r w:rsidRPr="005451A6">
        <w:rPr>
          <w:i/>
          <w:lang w:val="fr-FR"/>
        </w:rPr>
        <w:br/>
      </w:r>
      <w:r w:rsidRPr="005451A6">
        <w:rPr>
          <w:lang w:val="fr-FR"/>
        </w:rPr>
        <w:tab/>
        <w:t>Paul Mahoney,</w:t>
      </w:r>
      <w:r w:rsidRPr="005451A6">
        <w:rPr>
          <w:i/>
          <w:lang w:val="fr-FR"/>
        </w:rPr>
        <w:br/>
      </w:r>
      <w:r w:rsidRPr="005451A6">
        <w:rPr>
          <w:lang w:val="fr-FR"/>
        </w:rPr>
        <w:tab/>
        <w:t>Aleš Pejchal,</w:t>
      </w:r>
      <w:r w:rsidRPr="005451A6">
        <w:rPr>
          <w:i/>
          <w:lang w:val="fr-FR"/>
        </w:rPr>
        <w:br/>
      </w:r>
      <w:r w:rsidRPr="005451A6">
        <w:rPr>
          <w:lang w:val="fr-FR"/>
        </w:rPr>
        <w:tab/>
        <w:t>Armen Harutyunyan,</w:t>
      </w:r>
      <w:r w:rsidRPr="005451A6">
        <w:rPr>
          <w:i/>
          <w:lang w:val="fr-FR"/>
        </w:rPr>
        <w:t xml:space="preserve"> juges,</w:t>
      </w:r>
      <w:r w:rsidR="00E77CB3" w:rsidRPr="005451A6">
        <w:rPr>
          <w:lang w:val="fr-FR"/>
        </w:rPr>
        <w:br/>
        <w:t xml:space="preserve">et de </w:t>
      </w:r>
      <w:r w:rsidR="000C6143" w:rsidRPr="005451A6">
        <w:rPr>
          <w:lang w:val="fr-FR"/>
        </w:rPr>
        <w:t>Abel Campos</w:t>
      </w:r>
      <w:r w:rsidR="00E77CB3" w:rsidRPr="005451A6">
        <w:rPr>
          <w:lang w:val="fr-FR"/>
        </w:rPr>
        <w:t xml:space="preserve">, </w:t>
      </w:r>
      <w:r w:rsidR="000C6143" w:rsidRPr="005451A6">
        <w:rPr>
          <w:i/>
          <w:lang w:val="fr-FR"/>
        </w:rPr>
        <w:t>greffier</w:t>
      </w:r>
      <w:r w:rsidR="000C6143" w:rsidRPr="005451A6">
        <w:rPr>
          <w:iCs/>
          <w:lang w:val="fr-FR"/>
        </w:rPr>
        <w:t xml:space="preserve"> </w:t>
      </w:r>
      <w:r w:rsidR="000C6143" w:rsidRPr="005451A6">
        <w:rPr>
          <w:i/>
          <w:iCs/>
          <w:lang w:val="fr-FR"/>
        </w:rPr>
        <w:t>d</w:t>
      </w:r>
      <w:r w:rsidR="000C6143" w:rsidRPr="005451A6">
        <w:rPr>
          <w:i/>
          <w:lang w:val="fr-FR"/>
        </w:rPr>
        <w:t>e section</w:t>
      </w:r>
      <w:r w:rsidR="00E77CB3" w:rsidRPr="005451A6">
        <w:rPr>
          <w:lang w:val="fr-FR"/>
        </w:rPr>
        <w:t>,</w:t>
      </w:r>
    </w:p>
    <w:p w:rsidR="00E77CB3" w:rsidRPr="005451A6" w:rsidRDefault="00E77CB3" w:rsidP="005451A6">
      <w:pPr>
        <w:pStyle w:val="ECHRPara"/>
        <w:rPr>
          <w:lang w:val="fr-FR"/>
        </w:rPr>
      </w:pPr>
      <w:r w:rsidRPr="005451A6">
        <w:rPr>
          <w:lang w:val="fr-FR"/>
        </w:rPr>
        <w:t xml:space="preserve">Après en avoir délibéré en chambre du conseil le </w:t>
      </w:r>
      <w:r w:rsidR="00097D97" w:rsidRPr="005451A6">
        <w:rPr>
          <w:lang w:val="fr-FR"/>
        </w:rPr>
        <w:t>23 août 2016</w:t>
      </w:r>
      <w:r w:rsidRPr="005451A6">
        <w:rPr>
          <w:lang w:val="fr-FR"/>
        </w:rPr>
        <w:t>,</w:t>
      </w:r>
    </w:p>
    <w:p w:rsidR="00E77CB3" w:rsidRPr="005451A6" w:rsidRDefault="00E77CB3" w:rsidP="005451A6">
      <w:pPr>
        <w:pStyle w:val="ECHRPara"/>
        <w:rPr>
          <w:lang w:val="fr-FR"/>
        </w:rPr>
      </w:pPr>
      <w:r w:rsidRPr="005451A6">
        <w:rPr>
          <w:lang w:val="fr-FR"/>
        </w:rPr>
        <w:t>Rend l</w:t>
      </w:r>
      <w:r w:rsidR="005451A6" w:rsidRPr="005451A6">
        <w:rPr>
          <w:lang w:val="fr-FR"/>
        </w:rPr>
        <w:t>’</w:t>
      </w:r>
      <w:r w:rsidRPr="005451A6">
        <w:rPr>
          <w:lang w:val="fr-FR"/>
        </w:rPr>
        <w:t>arrêt que voici, adopté à cette date :</w:t>
      </w:r>
    </w:p>
    <w:p w:rsidR="00E77CB3" w:rsidRPr="005451A6" w:rsidRDefault="00E77CB3" w:rsidP="005451A6">
      <w:pPr>
        <w:pStyle w:val="ECHRTitle1"/>
        <w:keepNext w:val="0"/>
        <w:keepLines w:val="0"/>
        <w:rPr>
          <w:lang w:val="fr-FR"/>
        </w:rPr>
      </w:pPr>
      <w:r w:rsidRPr="005451A6">
        <w:rPr>
          <w:lang w:val="fr-FR"/>
        </w:rPr>
        <w:t>PROCÉDURE</w:t>
      </w:r>
    </w:p>
    <w:p w:rsidR="00E77CB3"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1</w:t>
      </w:r>
      <w:r w:rsidRPr="005451A6">
        <w:rPr>
          <w:lang w:val="fr-FR"/>
        </w:rPr>
        <w:fldChar w:fldCharType="end"/>
      </w:r>
      <w:r w:rsidR="00E77CB3" w:rsidRPr="005451A6">
        <w:rPr>
          <w:lang w:val="fr-FR"/>
        </w:rPr>
        <w:t>.  À l</w:t>
      </w:r>
      <w:r w:rsidR="005451A6" w:rsidRPr="005451A6">
        <w:rPr>
          <w:lang w:val="fr-FR"/>
        </w:rPr>
        <w:t>’</w:t>
      </w:r>
      <w:r w:rsidR="00E77CB3" w:rsidRPr="005451A6">
        <w:rPr>
          <w:lang w:val="fr-FR"/>
        </w:rPr>
        <w:t>origine de l</w:t>
      </w:r>
      <w:r w:rsidR="005451A6" w:rsidRPr="005451A6">
        <w:rPr>
          <w:lang w:val="fr-FR"/>
        </w:rPr>
        <w:t>’</w:t>
      </w:r>
      <w:r w:rsidR="00E77CB3" w:rsidRPr="005451A6">
        <w:rPr>
          <w:lang w:val="fr-FR"/>
        </w:rPr>
        <w:t xml:space="preserve">affaire </w:t>
      </w:r>
      <w:r w:rsidRPr="005451A6">
        <w:rPr>
          <w:lang w:val="fr-FR"/>
        </w:rPr>
        <w:t>se trouve une requête (n</w:t>
      </w:r>
      <w:r w:rsidR="003C628F" w:rsidRPr="005451A6">
        <w:rPr>
          <w:vertAlign w:val="superscript"/>
          <w:lang w:val="fr-FR"/>
        </w:rPr>
        <w:t>o</w:t>
      </w:r>
      <w:r w:rsidRPr="005451A6">
        <w:rPr>
          <w:lang w:val="fr-FR"/>
        </w:rPr>
        <w:t xml:space="preserve"> 32610/07) dirigée</w:t>
      </w:r>
      <w:r w:rsidR="00E77CB3" w:rsidRPr="005451A6">
        <w:rPr>
          <w:lang w:val="fr-FR"/>
        </w:rPr>
        <w:t xml:space="preserve"> contre </w:t>
      </w:r>
      <w:r w:rsidRPr="005451A6">
        <w:rPr>
          <w:lang w:val="fr-FR"/>
        </w:rPr>
        <w:t>la République italienne</w:t>
      </w:r>
      <w:r w:rsidR="00E77CB3" w:rsidRPr="005451A6">
        <w:rPr>
          <w:lang w:val="fr-FR"/>
        </w:rPr>
        <w:t xml:space="preserve"> et dont </w:t>
      </w:r>
      <w:r w:rsidRPr="005451A6">
        <w:rPr>
          <w:lang w:val="fr-FR"/>
        </w:rPr>
        <w:t>un ressortissant de cet État, M.</w:t>
      </w:r>
      <w:r w:rsidR="000A4EF5" w:rsidRPr="005451A6">
        <w:rPr>
          <w:lang w:val="fr-FR"/>
        </w:rPr>
        <w:t> </w:t>
      </w:r>
      <w:r w:rsidRPr="005451A6">
        <w:rPr>
          <w:lang w:val="fr-FR"/>
        </w:rPr>
        <w:t>Gino</w:t>
      </w:r>
      <w:r w:rsidR="000A4EF5" w:rsidRPr="005451A6">
        <w:rPr>
          <w:lang w:val="fr-FR"/>
        </w:rPr>
        <w:t> </w:t>
      </w:r>
      <w:r w:rsidRPr="005451A6">
        <w:rPr>
          <w:lang w:val="fr-FR"/>
        </w:rPr>
        <w:t>Trevisanato (« le requérant »), a saisi la Cour le 4 juillet 2007</w:t>
      </w:r>
      <w:r w:rsidR="00E77CB3" w:rsidRPr="005451A6">
        <w:rPr>
          <w:lang w:val="fr-FR"/>
        </w:rPr>
        <w:t xml:space="preserve"> en vertu de </w:t>
      </w:r>
      <w:r w:rsidRPr="005451A6">
        <w:rPr>
          <w:lang w:val="fr-FR"/>
        </w:rPr>
        <w:t>l</w:t>
      </w:r>
      <w:r w:rsidR="005451A6" w:rsidRPr="005451A6">
        <w:rPr>
          <w:lang w:val="fr-FR"/>
        </w:rPr>
        <w:t>’</w:t>
      </w:r>
      <w:r w:rsidRPr="005451A6">
        <w:rPr>
          <w:lang w:val="fr-FR"/>
        </w:rPr>
        <w:t>article 34</w:t>
      </w:r>
      <w:r w:rsidR="00E77CB3" w:rsidRPr="005451A6">
        <w:rPr>
          <w:lang w:val="fr-FR"/>
        </w:rPr>
        <w:t xml:space="preserve"> de la Convention de sauvegarde des droits de l</w:t>
      </w:r>
      <w:r w:rsidR="005451A6" w:rsidRPr="005451A6">
        <w:rPr>
          <w:lang w:val="fr-FR"/>
        </w:rPr>
        <w:t>’</w:t>
      </w:r>
      <w:r w:rsidR="00E77CB3" w:rsidRPr="005451A6">
        <w:rPr>
          <w:lang w:val="fr-FR"/>
        </w:rPr>
        <w:t>homme et des libertés fondamentales (« la Convention »).</w:t>
      </w:r>
    </w:p>
    <w:p w:rsidR="003C628F"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2</w:t>
      </w:r>
      <w:r w:rsidRPr="005451A6">
        <w:rPr>
          <w:lang w:val="fr-FR"/>
        </w:rPr>
        <w:fldChar w:fldCharType="end"/>
      </w:r>
      <w:r w:rsidR="00E77CB3" w:rsidRPr="005451A6">
        <w:rPr>
          <w:lang w:val="fr-FR"/>
        </w:rPr>
        <w:t>.  </w:t>
      </w:r>
      <w:r w:rsidRPr="005451A6">
        <w:rPr>
          <w:lang w:val="fr-FR"/>
        </w:rPr>
        <w:t>Le requérant a été représenté par M</w:t>
      </w:r>
      <w:r w:rsidRPr="005451A6">
        <w:rPr>
          <w:vertAlign w:val="superscript"/>
          <w:lang w:val="fr-FR"/>
        </w:rPr>
        <w:t>e</w:t>
      </w:r>
      <w:r w:rsidRPr="005451A6">
        <w:rPr>
          <w:lang w:val="fr-FR"/>
        </w:rPr>
        <w:t xml:space="preserve"> G. Pacchiani, avocat à Milan. </w:t>
      </w:r>
      <w:r w:rsidR="00E77CB3" w:rsidRPr="005451A6">
        <w:rPr>
          <w:lang w:val="fr-FR"/>
        </w:rPr>
        <w:t xml:space="preserve">Le gouvernement </w:t>
      </w:r>
      <w:r w:rsidRPr="005451A6">
        <w:rPr>
          <w:lang w:val="fr-FR"/>
        </w:rPr>
        <w:t>italien</w:t>
      </w:r>
      <w:r w:rsidR="00E77CB3" w:rsidRPr="005451A6">
        <w:rPr>
          <w:lang w:val="fr-FR"/>
        </w:rPr>
        <w:t xml:space="preserve"> (« le Gouvernement ») a été représenté par son agent, </w:t>
      </w:r>
      <w:r w:rsidRPr="005451A6">
        <w:rPr>
          <w:lang w:val="fr-FR"/>
        </w:rPr>
        <w:t>M</w:t>
      </w:r>
      <w:r w:rsidRPr="005451A6">
        <w:rPr>
          <w:vertAlign w:val="superscript"/>
          <w:lang w:val="fr-FR"/>
        </w:rPr>
        <w:t>me</w:t>
      </w:r>
      <w:r w:rsidR="000A4EF5" w:rsidRPr="005451A6">
        <w:rPr>
          <w:vertAlign w:val="superscript"/>
          <w:lang w:val="fr-FR"/>
        </w:rPr>
        <w:t> </w:t>
      </w:r>
      <w:r w:rsidRPr="005451A6">
        <w:rPr>
          <w:lang w:val="fr-FR"/>
        </w:rPr>
        <w:t>Ersilia Spatafora</w:t>
      </w:r>
      <w:r w:rsidR="00E77CB3" w:rsidRPr="005451A6">
        <w:rPr>
          <w:lang w:val="fr-FR"/>
        </w:rPr>
        <w:t>.</w:t>
      </w:r>
    </w:p>
    <w:p w:rsidR="00526459"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3</w:t>
      </w:r>
      <w:r w:rsidRPr="005451A6">
        <w:rPr>
          <w:lang w:val="fr-FR"/>
        </w:rPr>
        <w:fldChar w:fldCharType="end"/>
      </w:r>
      <w:r w:rsidRPr="005451A6">
        <w:rPr>
          <w:lang w:val="fr-FR"/>
        </w:rPr>
        <w:t>.  Le requérant allègue en particulier</w:t>
      </w:r>
      <w:r w:rsidR="00526459" w:rsidRPr="005451A6">
        <w:rPr>
          <w:lang w:val="fr-FR"/>
        </w:rPr>
        <w:t xml:space="preserve"> que l</w:t>
      </w:r>
      <w:r w:rsidR="005451A6" w:rsidRPr="005451A6">
        <w:rPr>
          <w:lang w:val="fr-FR"/>
        </w:rPr>
        <w:t>’</w:t>
      </w:r>
      <w:r w:rsidR="00526459" w:rsidRPr="005451A6">
        <w:rPr>
          <w:lang w:val="fr-FR"/>
        </w:rPr>
        <w:t>interprétation par la Cour de cassation des dispositions portant sur les conditions de présentation du pourvoi en cassation a méconnu son droit à un tribunal, garanti par l</w:t>
      </w:r>
      <w:r w:rsidR="005451A6" w:rsidRPr="005451A6">
        <w:rPr>
          <w:lang w:val="fr-FR"/>
        </w:rPr>
        <w:t>’</w:t>
      </w:r>
      <w:r w:rsidR="00526459" w:rsidRPr="005451A6">
        <w:rPr>
          <w:lang w:val="fr-FR"/>
        </w:rPr>
        <w:t>article</w:t>
      </w:r>
      <w:r w:rsidR="00AE7117" w:rsidRPr="005451A6">
        <w:rPr>
          <w:lang w:val="fr-FR"/>
        </w:rPr>
        <w:t> </w:t>
      </w:r>
      <w:r w:rsidR="00526459" w:rsidRPr="005451A6">
        <w:rPr>
          <w:lang w:val="fr-FR"/>
        </w:rPr>
        <w:t>6</w:t>
      </w:r>
      <w:r w:rsidR="00CA3D1A" w:rsidRPr="005451A6">
        <w:rPr>
          <w:lang w:val="fr-FR"/>
        </w:rPr>
        <w:t xml:space="preserve"> </w:t>
      </w:r>
      <w:r w:rsidR="00526459" w:rsidRPr="005451A6">
        <w:rPr>
          <w:lang w:val="fr-FR"/>
        </w:rPr>
        <w:t>§</w:t>
      </w:r>
      <w:r w:rsidR="000A4EF5" w:rsidRPr="005451A6">
        <w:rPr>
          <w:lang w:val="fr-FR"/>
        </w:rPr>
        <w:t> </w:t>
      </w:r>
      <w:r w:rsidR="00AE7117" w:rsidRPr="005451A6">
        <w:rPr>
          <w:lang w:val="fr-FR"/>
        </w:rPr>
        <w:t>1 </w:t>
      </w:r>
      <w:r w:rsidR="00526459" w:rsidRPr="005451A6">
        <w:rPr>
          <w:lang w:val="fr-FR"/>
        </w:rPr>
        <w:t>de la Convention.</w:t>
      </w:r>
    </w:p>
    <w:p w:rsidR="00E77CB3" w:rsidRPr="005451A6" w:rsidRDefault="000C6143" w:rsidP="005451A6">
      <w:pPr>
        <w:pStyle w:val="ECHRPara"/>
        <w:rPr>
          <w:szCs w:val="24"/>
          <w:lang w:val="fr-FR" w:eastAsia="en-GB"/>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4</w:t>
      </w:r>
      <w:r w:rsidRPr="005451A6">
        <w:rPr>
          <w:lang w:val="fr-FR"/>
        </w:rPr>
        <w:fldChar w:fldCharType="end"/>
      </w:r>
      <w:r w:rsidR="00E77CB3" w:rsidRPr="005451A6">
        <w:rPr>
          <w:lang w:val="fr-FR"/>
        </w:rPr>
        <w:t>.  </w:t>
      </w:r>
      <w:r w:rsidRPr="005451A6">
        <w:rPr>
          <w:lang w:val="fr-FR"/>
        </w:rPr>
        <w:t xml:space="preserve">Le </w:t>
      </w:r>
      <w:r w:rsidRPr="005451A6">
        <w:rPr>
          <w:szCs w:val="24"/>
          <w:lang w:val="fr-FR"/>
        </w:rPr>
        <w:t>5 mars 2015</w:t>
      </w:r>
      <w:r w:rsidR="00E77CB3" w:rsidRPr="005451A6">
        <w:rPr>
          <w:lang w:val="fr-FR"/>
        </w:rPr>
        <w:t xml:space="preserve">, </w:t>
      </w:r>
      <w:r w:rsidRPr="005451A6">
        <w:rPr>
          <w:lang w:val="fr-FR"/>
        </w:rPr>
        <w:t xml:space="preserve">le grief concernant </w:t>
      </w:r>
      <w:r w:rsidR="00526459" w:rsidRPr="005451A6">
        <w:rPr>
          <w:lang w:val="fr-FR"/>
        </w:rPr>
        <w:t>l</w:t>
      </w:r>
      <w:r w:rsidR="005451A6" w:rsidRPr="005451A6">
        <w:rPr>
          <w:lang w:val="fr-FR"/>
        </w:rPr>
        <w:t>’</w:t>
      </w:r>
      <w:r w:rsidR="00526459" w:rsidRPr="005451A6">
        <w:rPr>
          <w:lang w:val="fr-FR"/>
        </w:rPr>
        <w:t>article 6 § 1 de la Convention</w:t>
      </w:r>
      <w:r w:rsidRPr="005451A6">
        <w:rPr>
          <w:lang w:val="fr-FR"/>
        </w:rPr>
        <w:t xml:space="preserve"> a été communiqué au Gouvernement et la requête a été déclarée irrecevable</w:t>
      </w:r>
      <w:r w:rsidRPr="005451A6">
        <w:rPr>
          <w:szCs w:val="24"/>
          <w:lang w:val="fr-FR"/>
        </w:rPr>
        <w:t xml:space="preserve"> pour le surplus </w:t>
      </w:r>
      <w:r w:rsidRPr="005451A6">
        <w:rPr>
          <w:lang w:val="fr-FR"/>
        </w:rPr>
        <w:t>conformément à l</w:t>
      </w:r>
      <w:r w:rsidR="005451A6" w:rsidRPr="005451A6">
        <w:rPr>
          <w:lang w:val="fr-FR"/>
        </w:rPr>
        <w:t>’</w:t>
      </w:r>
      <w:r w:rsidRPr="005451A6">
        <w:rPr>
          <w:lang w:val="fr-FR"/>
        </w:rPr>
        <w:t>article 54 § 3 du Règlement de la Cour</w:t>
      </w:r>
      <w:r w:rsidR="00C1262B" w:rsidRPr="005451A6">
        <w:rPr>
          <w:lang w:val="fr-FR"/>
        </w:rPr>
        <w:t>.</w:t>
      </w:r>
    </w:p>
    <w:p w:rsidR="00E77CB3" w:rsidRPr="005451A6" w:rsidRDefault="00E77CB3" w:rsidP="005451A6">
      <w:pPr>
        <w:pStyle w:val="ECHRTitle1"/>
        <w:keepNext w:val="0"/>
        <w:keepLines w:val="0"/>
        <w:tabs>
          <w:tab w:val="left" w:pos="5387"/>
        </w:tabs>
        <w:rPr>
          <w:lang w:val="fr-FR"/>
        </w:rPr>
      </w:pPr>
      <w:r w:rsidRPr="005451A6">
        <w:rPr>
          <w:lang w:val="fr-FR"/>
        </w:rPr>
        <w:t>EN FAIT</w:t>
      </w:r>
    </w:p>
    <w:p w:rsidR="00E77CB3" w:rsidRPr="005451A6" w:rsidRDefault="00E77CB3" w:rsidP="005451A6">
      <w:pPr>
        <w:pStyle w:val="ECHRHeading1"/>
        <w:keepNext w:val="0"/>
        <w:keepLines w:val="0"/>
        <w:rPr>
          <w:lang w:val="fr-FR"/>
        </w:rPr>
      </w:pPr>
      <w:r w:rsidRPr="005451A6">
        <w:rPr>
          <w:lang w:val="fr-FR"/>
        </w:rPr>
        <w:t>I.  LES CIRCONSTANCES DE L</w:t>
      </w:r>
      <w:r w:rsidR="005451A6" w:rsidRPr="005451A6">
        <w:rPr>
          <w:lang w:val="fr-FR"/>
        </w:rPr>
        <w:t>’</w:t>
      </w:r>
      <w:r w:rsidRPr="005451A6">
        <w:rPr>
          <w:lang w:val="fr-FR"/>
        </w:rPr>
        <w:t>ESPÈCE</w:t>
      </w:r>
    </w:p>
    <w:p w:rsidR="00E77CB3"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5</w:t>
      </w:r>
      <w:r w:rsidRPr="005451A6">
        <w:rPr>
          <w:lang w:val="fr-FR"/>
        </w:rPr>
        <w:fldChar w:fldCharType="end"/>
      </w:r>
      <w:r w:rsidR="00E77CB3" w:rsidRPr="005451A6">
        <w:rPr>
          <w:lang w:val="fr-FR"/>
        </w:rPr>
        <w:t>.  </w:t>
      </w:r>
      <w:r w:rsidRPr="005451A6">
        <w:rPr>
          <w:lang w:val="fr-FR"/>
        </w:rPr>
        <w:t xml:space="preserve">Le requérant est né en 1937 et réside à </w:t>
      </w:r>
      <w:r w:rsidR="00E6392B" w:rsidRPr="005451A6">
        <w:rPr>
          <w:lang w:val="fr-FR"/>
        </w:rPr>
        <w:t>Casatenovo</w:t>
      </w:r>
      <w:r w:rsidR="0029445D" w:rsidRPr="005451A6">
        <w:rPr>
          <w:lang w:val="fr-FR"/>
        </w:rPr>
        <w:t xml:space="preserve"> </w:t>
      </w:r>
      <w:r w:rsidR="00332198" w:rsidRPr="005451A6">
        <w:rPr>
          <w:lang w:val="fr-FR"/>
        </w:rPr>
        <w:t>(</w:t>
      </w:r>
      <w:r w:rsidR="0029445D" w:rsidRPr="005451A6">
        <w:rPr>
          <w:lang w:val="fr-FR"/>
        </w:rPr>
        <w:t>Lecco</w:t>
      </w:r>
      <w:r w:rsidR="00332198" w:rsidRPr="005451A6">
        <w:rPr>
          <w:lang w:val="fr-FR"/>
        </w:rPr>
        <w:t>)</w:t>
      </w:r>
      <w:r w:rsidR="00E77CB3" w:rsidRPr="005451A6">
        <w:rPr>
          <w:lang w:val="fr-FR"/>
        </w:rPr>
        <w:t>.</w:t>
      </w:r>
    </w:p>
    <w:p w:rsidR="00C72B00"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6</w:t>
      </w:r>
      <w:r w:rsidRPr="005451A6">
        <w:rPr>
          <w:lang w:val="fr-FR"/>
        </w:rPr>
        <w:fldChar w:fldCharType="end"/>
      </w:r>
      <w:r w:rsidRPr="005451A6">
        <w:rPr>
          <w:lang w:val="fr-FR"/>
        </w:rPr>
        <w:t>.  Les faits de la cause, tels qu</w:t>
      </w:r>
      <w:r w:rsidR="005451A6" w:rsidRPr="005451A6">
        <w:rPr>
          <w:lang w:val="fr-FR"/>
        </w:rPr>
        <w:t>’</w:t>
      </w:r>
      <w:r w:rsidRPr="005451A6">
        <w:rPr>
          <w:lang w:val="fr-FR"/>
        </w:rPr>
        <w:t>ils ont été exposés par le</w:t>
      </w:r>
      <w:r w:rsidR="00332198" w:rsidRPr="005451A6">
        <w:rPr>
          <w:lang w:val="fr-FR"/>
        </w:rPr>
        <w:t>s parties</w:t>
      </w:r>
      <w:r w:rsidRPr="005451A6">
        <w:rPr>
          <w:lang w:val="fr-FR"/>
        </w:rPr>
        <w:t>, peuvent se résumer comme suit.</w:t>
      </w:r>
    </w:p>
    <w:p w:rsidR="000C6143" w:rsidRPr="005451A6" w:rsidRDefault="00526459" w:rsidP="005451A6">
      <w:pPr>
        <w:pStyle w:val="ECHRPara"/>
        <w:keepNext/>
        <w:keepLines/>
        <w:rPr>
          <w:lang w:val="fr-FR"/>
        </w:rPr>
      </w:pPr>
      <w:r w:rsidRPr="005451A6">
        <w:rPr>
          <w:lang w:val="fr-FR"/>
        </w:rPr>
        <w:lastRenderedPageBreak/>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7</w:t>
      </w:r>
      <w:r w:rsidRPr="005451A6">
        <w:rPr>
          <w:lang w:val="fr-FR"/>
        </w:rPr>
        <w:fldChar w:fldCharType="end"/>
      </w:r>
      <w:r w:rsidRPr="005451A6">
        <w:rPr>
          <w:lang w:val="fr-FR"/>
        </w:rPr>
        <w:t>.  </w:t>
      </w:r>
      <w:r w:rsidR="000C6143" w:rsidRPr="005451A6">
        <w:rPr>
          <w:lang w:val="fr-FR"/>
        </w:rPr>
        <w:t>Le requérant fut salarié de la société IBM pendant 32 ans, dont 23 en tant que dirigeant. En novembre 1994, la direction de la société lui signifia son licenciement avec préavis d</w:t>
      </w:r>
      <w:r w:rsidR="005451A6" w:rsidRPr="005451A6">
        <w:rPr>
          <w:lang w:val="fr-FR"/>
        </w:rPr>
        <w:t>’</w:t>
      </w:r>
      <w:r w:rsidR="000C6143" w:rsidRPr="005451A6">
        <w:rPr>
          <w:lang w:val="fr-FR"/>
        </w:rPr>
        <w:t>un an à partir du 1</w:t>
      </w:r>
      <w:r w:rsidR="000C6143" w:rsidRPr="005451A6">
        <w:rPr>
          <w:vertAlign w:val="superscript"/>
          <w:lang w:val="fr-FR"/>
        </w:rPr>
        <w:t>er</w:t>
      </w:r>
      <w:r w:rsidR="000C6143" w:rsidRPr="005451A6">
        <w:rPr>
          <w:lang w:val="fr-FR"/>
        </w:rPr>
        <w:t xml:space="preserve"> janvier 1995. Le licenciement prit effet le 17 juin 1996.</w:t>
      </w:r>
    </w:p>
    <w:p w:rsidR="000C6143" w:rsidRPr="005451A6" w:rsidRDefault="000C6143" w:rsidP="005451A6">
      <w:pPr>
        <w:pStyle w:val="ECHRHeading2"/>
        <w:rPr>
          <w:lang w:val="fr-FR"/>
        </w:rPr>
      </w:pPr>
      <w:r w:rsidRPr="005451A6">
        <w:rPr>
          <w:lang w:val="fr-FR"/>
        </w:rPr>
        <w:t>La procédure interne</w:t>
      </w:r>
    </w:p>
    <w:p w:rsidR="003C628F" w:rsidRPr="005451A6" w:rsidRDefault="00E76E51" w:rsidP="005451A6">
      <w:pPr>
        <w:pStyle w:val="ECHRHeading3"/>
        <w:rPr>
          <w:lang w:val="fr-FR"/>
        </w:rPr>
      </w:pPr>
      <w:r w:rsidRPr="005451A6">
        <w:rPr>
          <w:lang w:val="fr-FR"/>
        </w:rPr>
        <w:t>1</w:t>
      </w:r>
      <w:r w:rsidR="00C12527" w:rsidRPr="005451A6">
        <w:rPr>
          <w:lang w:val="fr-FR"/>
        </w:rPr>
        <w:t>.</w:t>
      </w:r>
      <w:r w:rsidR="00A07368" w:rsidRPr="005451A6">
        <w:rPr>
          <w:lang w:val="fr-FR"/>
        </w:rPr>
        <w:t>  </w:t>
      </w:r>
      <w:r w:rsidR="000C6143" w:rsidRPr="005451A6">
        <w:rPr>
          <w:lang w:val="fr-FR"/>
        </w:rPr>
        <w:t>Sur le déclassement professionnel</w:t>
      </w:r>
    </w:p>
    <w:p w:rsidR="000C6143"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8</w:t>
      </w:r>
      <w:r w:rsidRPr="005451A6">
        <w:rPr>
          <w:lang w:val="fr-FR"/>
        </w:rPr>
        <w:fldChar w:fldCharType="end"/>
      </w:r>
      <w:r w:rsidRPr="005451A6">
        <w:rPr>
          <w:lang w:val="fr-FR"/>
        </w:rPr>
        <w:t>.  Se considérant victim</w:t>
      </w:r>
      <w:r w:rsidR="00332198" w:rsidRPr="005451A6">
        <w:rPr>
          <w:lang w:val="fr-FR"/>
        </w:rPr>
        <w:t>e de déclassement professionnel</w:t>
      </w:r>
      <w:r w:rsidRPr="005451A6">
        <w:rPr>
          <w:lang w:val="fr-FR"/>
        </w:rPr>
        <w:t>, le requérant introduisit, à une date non précisée, une requête en urgence devant le juge d</w:t>
      </w:r>
      <w:r w:rsidR="005451A6" w:rsidRPr="005451A6">
        <w:rPr>
          <w:lang w:val="fr-FR"/>
        </w:rPr>
        <w:t>’</w:t>
      </w:r>
      <w:r w:rsidRPr="005451A6">
        <w:rPr>
          <w:lang w:val="fr-FR"/>
        </w:rPr>
        <w:t>instance de Milan (</w:t>
      </w:r>
      <w:r w:rsidRPr="005451A6">
        <w:rPr>
          <w:i/>
          <w:lang w:val="fr-FR"/>
        </w:rPr>
        <w:t>pretore</w:t>
      </w:r>
      <w:r w:rsidRPr="005451A6">
        <w:rPr>
          <w:lang w:val="fr-FR"/>
        </w:rPr>
        <w:t>), au sens de l</w:t>
      </w:r>
      <w:r w:rsidR="005451A6" w:rsidRPr="005451A6">
        <w:rPr>
          <w:lang w:val="fr-FR"/>
        </w:rPr>
        <w:t>’</w:t>
      </w:r>
      <w:r w:rsidRPr="005451A6">
        <w:rPr>
          <w:lang w:val="fr-FR"/>
        </w:rPr>
        <w:t>article 700 du code de procédure civile (CPC), afin d</w:t>
      </w:r>
      <w:r w:rsidR="005451A6" w:rsidRPr="005451A6">
        <w:rPr>
          <w:lang w:val="fr-FR"/>
        </w:rPr>
        <w:t>’</w:t>
      </w:r>
      <w:r w:rsidRPr="005451A6">
        <w:rPr>
          <w:lang w:val="fr-FR"/>
        </w:rPr>
        <w:t>obtenir</w:t>
      </w:r>
      <w:r w:rsidR="00526459" w:rsidRPr="005451A6">
        <w:rPr>
          <w:lang w:val="fr-FR"/>
        </w:rPr>
        <w:t xml:space="preserve"> la suspension conservatoire (</w:t>
      </w:r>
      <w:r w:rsidRPr="005451A6">
        <w:rPr>
          <w:i/>
          <w:lang w:val="fr-FR"/>
        </w:rPr>
        <w:t>provvedimento cautelare</w:t>
      </w:r>
      <w:r w:rsidRPr="005451A6">
        <w:rPr>
          <w:lang w:val="fr-FR"/>
        </w:rPr>
        <w:t>) de l</w:t>
      </w:r>
      <w:r w:rsidR="005451A6" w:rsidRPr="005451A6">
        <w:rPr>
          <w:lang w:val="fr-FR"/>
        </w:rPr>
        <w:t>’</w:t>
      </w:r>
      <w:r w:rsidRPr="005451A6">
        <w:rPr>
          <w:lang w:val="fr-FR"/>
        </w:rPr>
        <w:t>acte de déclassement. Le juge fit droit à sa demande.</w:t>
      </w:r>
    </w:p>
    <w:p w:rsidR="000C6143"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9</w:t>
      </w:r>
      <w:r w:rsidRPr="005451A6">
        <w:rPr>
          <w:lang w:val="fr-FR"/>
        </w:rPr>
        <w:fldChar w:fldCharType="end"/>
      </w:r>
      <w:r w:rsidRPr="005451A6">
        <w:rPr>
          <w:lang w:val="fr-FR"/>
        </w:rPr>
        <w:t>.  En août 1995, il entama une procédure au fond en demandant la ré</w:t>
      </w:r>
      <w:r w:rsidR="001406C3" w:rsidRPr="005451A6">
        <w:rPr>
          <w:lang w:val="fr-FR"/>
        </w:rPr>
        <w:t>intégration dans son poste de « </w:t>
      </w:r>
      <w:r w:rsidRPr="005451A6">
        <w:rPr>
          <w:lang w:val="fr-FR"/>
        </w:rPr>
        <w:t>directeur consultant produits</w:t>
      </w:r>
      <w:r w:rsidR="001406C3" w:rsidRPr="005451A6">
        <w:rPr>
          <w:lang w:val="fr-FR"/>
        </w:rPr>
        <w:t> </w:t>
      </w:r>
      <w:r w:rsidRPr="005451A6">
        <w:rPr>
          <w:lang w:val="fr-FR"/>
        </w:rPr>
        <w:t>», l</w:t>
      </w:r>
      <w:r w:rsidR="005451A6" w:rsidRPr="005451A6">
        <w:rPr>
          <w:lang w:val="fr-FR"/>
        </w:rPr>
        <w:t>’</w:t>
      </w:r>
      <w:r w:rsidRPr="005451A6">
        <w:rPr>
          <w:lang w:val="fr-FR"/>
        </w:rPr>
        <w:t>attribution d</w:t>
      </w:r>
      <w:r w:rsidR="005451A6" w:rsidRPr="005451A6">
        <w:rPr>
          <w:lang w:val="fr-FR"/>
        </w:rPr>
        <w:t>’</w:t>
      </w:r>
      <w:r w:rsidRPr="005451A6">
        <w:rPr>
          <w:lang w:val="fr-FR"/>
        </w:rPr>
        <w:t>un bureau individuel et une indemnisation en raison de la réduction salariale subie. Dans son mémoire, la société indiqua, entre autres, que le licenciement du requérant faisait partie d</w:t>
      </w:r>
      <w:r w:rsidR="005451A6" w:rsidRPr="005451A6">
        <w:rPr>
          <w:lang w:val="fr-FR"/>
        </w:rPr>
        <w:t>’</w:t>
      </w:r>
      <w:r w:rsidRPr="005451A6">
        <w:rPr>
          <w:lang w:val="fr-FR"/>
        </w:rPr>
        <w:t>un plan de licenciement collectif. Par décision du 29 août 1997, le juge d</w:t>
      </w:r>
      <w:r w:rsidR="005451A6" w:rsidRPr="005451A6">
        <w:rPr>
          <w:lang w:val="fr-FR"/>
        </w:rPr>
        <w:t>’</w:t>
      </w:r>
      <w:r w:rsidRPr="005451A6">
        <w:rPr>
          <w:lang w:val="fr-FR"/>
        </w:rPr>
        <w:t>instance condamna la société à indemniser le requérant de la différence salariale non versée entre mai 1995 et juin 1996, en rejetant le restant de la demande, l</w:t>
      </w:r>
      <w:r w:rsidR="005451A6" w:rsidRPr="005451A6">
        <w:rPr>
          <w:lang w:val="fr-FR"/>
        </w:rPr>
        <w:t>’</w:t>
      </w:r>
      <w:r w:rsidRPr="005451A6">
        <w:rPr>
          <w:lang w:val="fr-FR"/>
        </w:rPr>
        <w:t>objet du litige ayant cessé d</w:t>
      </w:r>
      <w:r w:rsidR="005451A6" w:rsidRPr="005451A6">
        <w:rPr>
          <w:lang w:val="fr-FR"/>
        </w:rPr>
        <w:t>’</w:t>
      </w:r>
      <w:r w:rsidRPr="005451A6">
        <w:rPr>
          <w:lang w:val="fr-FR"/>
        </w:rPr>
        <w:t>exister suite à la prise d</w:t>
      </w:r>
      <w:r w:rsidR="005451A6" w:rsidRPr="005451A6">
        <w:rPr>
          <w:lang w:val="fr-FR"/>
        </w:rPr>
        <w:t>’</w:t>
      </w:r>
      <w:r w:rsidRPr="005451A6">
        <w:rPr>
          <w:lang w:val="fr-FR"/>
        </w:rPr>
        <w:t>effet du licenciement. Le 13</w:t>
      </w:r>
      <w:r w:rsidR="000A4EF5" w:rsidRPr="005451A6">
        <w:rPr>
          <w:lang w:val="fr-FR"/>
        </w:rPr>
        <w:t> </w:t>
      </w:r>
      <w:r w:rsidRPr="005451A6">
        <w:rPr>
          <w:lang w:val="fr-FR"/>
        </w:rPr>
        <w:t>octobre</w:t>
      </w:r>
      <w:r w:rsidR="00CA3D1A" w:rsidRPr="005451A6">
        <w:rPr>
          <w:lang w:val="fr-FR"/>
        </w:rPr>
        <w:t xml:space="preserve"> </w:t>
      </w:r>
      <w:r w:rsidRPr="005451A6">
        <w:rPr>
          <w:lang w:val="fr-FR"/>
        </w:rPr>
        <w:t>1998, suite à l</w:t>
      </w:r>
      <w:r w:rsidR="005451A6" w:rsidRPr="005451A6">
        <w:rPr>
          <w:lang w:val="fr-FR"/>
        </w:rPr>
        <w:t>’</w:t>
      </w:r>
      <w:r w:rsidRPr="005451A6">
        <w:rPr>
          <w:lang w:val="fr-FR"/>
        </w:rPr>
        <w:t>appel introduit par la société défenderesse, le tribunal de Milan infirma cette décision.</w:t>
      </w:r>
    </w:p>
    <w:p w:rsidR="003C628F" w:rsidRPr="005451A6" w:rsidRDefault="00E76E51" w:rsidP="005451A6">
      <w:pPr>
        <w:pStyle w:val="ECHRHeading3"/>
        <w:rPr>
          <w:lang w:val="fr-FR"/>
        </w:rPr>
      </w:pPr>
      <w:r w:rsidRPr="005451A6">
        <w:rPr>
          <w:lang w:val="fr-FR"/>
        </w:rPr>
        <w:t>2</w:t>
      </w:r>
      <w:r w:rsidR="00C12527" w:rsidRPr="005451A6">
        <w:rPr>
          <w:lang w:val="fr-FR"/>
        </w:rPr>
        <w:t>.</w:t>
      </w:r>
      <w:r w:rsidR="00A07368" w:rsidRPr="005451A6">
        <w:rPr>
          <w:lang w:val="fr-FR"/>
        </w:rPr>
        <w:t>  </w:t>
      </w:r>
      <w:r w:rsidR="000C6143" w:rsidRPr="005451A6">
        <w:rPr>
          <w:lang w:val="fr-FR"/>
        </w:rPr>
        <w:t>Sur le licenciement</w:t>
      </w:r>
    </w:p>
    <w:p w:rsidR="000C6143"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10</w:t>
      </w:r>
      <w:r w:rsidRPr="005451A6">
        <w:rPr>
          <w:lang w:val="fr-FR"/>
        </w:rPr>
        <w:fldChar w:fldCharType="end"/>
      </w:r>
      <w:r w:rsidRPr="005451A6">
        <w:rPr>
          <w:lang w:val="fr-FR"/>
        </w:rPr>
        <w:t>.  Le 11 janvier 1995, le requérant contesta sans succès le licenciement par voie extrajudiciaire devant la direction départementale du travail (DPT). En 1999 et en 2004, deux tentatives de transaction auprès de la DPT échouèrent.</w:t>
      </w:r>
    </w:p>
    <w:p w:rsidR="003C628F"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11</w:t>
      </w:r>
      <w:r w:rsidRPr="005451A6">
        <w:rPr>
          <w:lang w:val="fr-FR"/>
        </w:rPr>
        <w:fldChar w:fldCharType="end"/>
      </w:r>
      <w:r w:rsidRPr="005451A6">
        <w:rPr>
          <w:lang w:val="fr-FR"/>
        </w:rPr>
        <w:t>.  Le 3 septembre 2004, le requérant assigna en justice la société devant le juge du travail de Milan, en demandant la déclaration de nullité ou d</w:t>
      </w:r>
      <w:r w:rsidR="005451A6" w:rsidRPr="005451A6">
        <w:rPr>
          <w:lang w:val="fr-FR"/>
        </w:rPr>
        <w:t>’</w:t>
      </w:r>
      <w:r w:rsidRPr="005451A6">
        <w:rPr>
          <w:lang w:val="fr-FR"/>
        </w:rPr>
        <w:t>inefficacité du licenciement et la réintégration dans son poste sur le fondement de l</w:t>
      </w:r>
      <w:r w:rsidR="005451A6" w:rsidRPr="005451A6">
        <w:rPr>
          <w:lang w:val="fr-FR"/>
        </w:rPr>
        <w:t>’</w:t>
      </w:r>
      <w:r w:rsidRPr="005451A6">
        <w:rPr>
          <w:lang w:val="fr-FR"/>
        </w:rPr>
        <w:t>article 18 de la loi n</w:t>
      </w:r>
      <w:r w:rsidR="003C628F" w:rsidRPr="005451A6">
        <w:rPr>
          <w:vertAlign w:val="superscript"/>
          <w:lang w:val="fr-FR"/>
        </w:rPr>
        <w:t>o</w:t>
      </w:r>
      <w:r w:rsidRPr="005451A6">
        <w:rPr>
          <w:lang w:val="fr-FR"/>
        </w:rPr>
        <w:t xml:space="preserve"> 300 du 20 mai 1970. Il contesta notamment la violation des garanties prévues aux articles 4, 5 et 24 de la loi n</w:t>
      </w:r>
      <w:r w:rsidR="003C628F" w:rsidRPr="005451A6">
        <w:rPr>
          <w:vertAlign w:val="superscript"/>
          <w:lang w:val="fr-FR"/>
        </w:rPr>
        <w:t>o</w:t>
      </w:r>
      <w:r w:rsidR="000A4EF5" w:rsidRPr="005451A6">
        <w:rPr>
          <w:vertAlign w:val="superscript"/>
          <w:lang w:val="fr-FR"/>
        </w:rPr>
        <w:t> </w:t>
      </w:r>
      <w:r w:rsidRPr="005451A6">
        <w:rPr>
          <w:lang w:val="fr-FR"/>
        </w:rPr>
        <w:t>223 du 23 juillet 1991 relative aux normes en matière de chômage technique, mobilité, allocations de chômage, mise en œuvre de directives communautaires, placement de main-d</w:t>
      </w:r>
      <w:r w:rsidR="005451A6" w:rsidRPr="005451A6">
        <w:rPr>
          <w:lang w:val="fr-FR"/>
        </w:rPr>
        <w:t>’</w:t>
      </w:r>
      <w:r w:rsidRPr="005451A6">
        <w:rPr>
          <w:lang w:val="fr-FR"/>
        </w:rPr>
        <w:t xml:space="preserve">œuvre et </w:t>
      </w:r>
      <w:r w:rsidR="00526459" w:rsidRPr="005451A6">
        <w:rPr>
          <w:lang w:val="fr-FR"/>
        </w:rPr>
        <w:t>des</w:t>
      </w:r>
      <w:r w:rsidRPr="005451A6">
        <w:rPr>
          <w:lang w:val="fr-FR"/>
        </w:rPr>
        <w:t xml:space="preserve"> autres dispositions r</w:t>
      </w:r>
      <w:r w:rsidR="00E6392B" w:rsidRPr="005451A6">
        <w:rPr>
          <w:lang w:val="fr-FR"/>
        </w:rPr>
        <w:t>elatives au marché du travail</w:t>
      </w:r>
      <w:r w:rsidRPr="005451A6">
        <w:rPr>
          <w:lang w:val="fr-FR"/>
        </w:rPr>
        <w:t>. Cette loi transpose en droit interne la règlementation communautaire en matiè</w:t>
      </w:r>
      <w:r w:rsidR="009903E6" w:rsidRPr="005451A6">
        <w:rPr>
          <w:lang w:val="fr-FR"/>
        </w:rPr>
        <w:t>re de licenciements collectifs.</w:t>
      </w:r>
    </w:p>
    <w:p w:rsidR="000C6143" w:rsidRPr="005451A6" w:rsidRDefault="000C6143" w:rsidP="005451A6">
      <w:pPr>
        <w:pStyle w:val="ECHRPara"/>
        <w:keepNext/>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12</w:t>
      </w:r>
      <w:r w:rsidRPr="005451A6">
        <w:rPr>
          <w:lang w:val="fr-FR"/>
        </w:rPr>
        <w:fldChar w:fldCharType="end"/>
      </w:r>
      <w:r w:rsidRPr="005451A6">
        <w:rPr>
          <w:lang w:val="fr-FR"/>
        </w:rPr>
        <w:t xml:space="preserve">.  Le 12 mai 2005, le juge déclara le recours irrecevable. Il observa que la relation de travail avait cessé sans aucune réserve formulée par le requérant. En outre, il estima que la question litigieuse était liée aux </w:t>
      </w:r>
      <w:r w:rsidRPr="005451A6">
        <w:rPr>
          <w:lang w:val="fr-FR"/>
        </w:rPr>
        <w:lastRenderedPageBreak/>
        <w:t>conclusions de la décision du juge d</w:t>
      </w:r>
      <w:r w:rsidR="005451A6" w:rsidRPr="005451A6">
        <w:rPr>
          <w:lang w:val="fr-FR"/>
        </w:rPr>
        <w:t>’</w:t>
      </w:r>
      <w:r w:rsidRPr="005451A6">
        <w:rPr>
          <w:lang w:val="fr-FR"/>
        </w:rPr>
        <w:t>instance du 1997, ayant acquis depuis force de chose jugée.</w:t>
      </w:r>
    </w:p>
    <w:p w:rsidR="003C628F"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13</w:t>
      </w:r>
      <w:r w:rsidRPr="005451A6">
        <w:rPr>
          <w:lang w:val="fr-FR"/>
        </w:rPr>
        <w:fldChar w:fldCharType="end"/>
      </w:r>
      <w:r w:rsidRPr="005451A6">
        <w:rPr>
          <w:lang w:val="fr-FR"/>
        </w:rPr>
        <w:t>.  Le 24 juin 2005, le requérant fit appel de la décision, en demandant également la saisine de la Cour de Justice de l</w:t>
      </w:r>
      <w:r w:rsidR="005451A6" w:rsidRPr="005451A6">
        <w:rPr>
          <w:lang w:val="fr-FR"/>
        </w:rPr>
        <w:t>’</w:t>
      </w:r>
      <w:r w:rsidRPr="005451A6">
        <w:rPr>
          <w:lang w:val="fr-FR"/>
        </w:rPr>
        <w:t>Union européenne (CJUE) d</w:t>
      </w:r>
      <w:r w:rsidR="005451A6" w:rsidRPr="005451A6">
        <w:rPr>
          <w:lang w:val="fr-FR"/>
        </w:rPr>
        <w:t>’</w:t>
      </w:r>
      <w:r w:rsidRPr="005451A6">
        <w:rPr>
          <w:lang w:val="fr-FR"/>
        </w:rPr>
        <w:t>une question préjudicielle sur la compatibilité de la loi n</w:t>
      </w:r>
      <w:r w:rsidR="003C628F" w:rsidRPr="005451A6">
        <w:rPr>
          <w:vertAlign w:val="superscript"/>
          <w:lang w:val="fr-FR"/>
        </w:rPr>
        <w:t>o</w:t>
      </w:r>
      <w:r w:rsidRPr="005451A6">
        <w:rPr>
          <w:lang w:val="fr-FR"/>
        </w:rPr>
        <w:t xml:space="preserve"> 223/1991 avec la directive 98/59/CE. Le 23 janvier 2007, la cour d</w:t>
      </w:r>
      <w:r w:rsidR="005451A6" w:rsidRPr="005451A6">
        <w:rPr>
          <w:lang w:val="fr-FR"/>
        </w:rPr>
        <w:t>’</w:t>
      </w:r>
      <w:r w:rsidRPr="005451A6">
        <w:rPr>
          <w:lang w:val="fr-FR"/>
        </w:rPr>
        <w:t xml:space="preserve">appel de Milan, tout en </w:t>
      </w:r>
      <w:r w:rsidR="00332198" w:rsidRPr="005451A6">
        <w:rPr>
          <w:lang w:val="fr-FR"/>
        </w:rPr>
        <w:t xml:space="preserve">les </w:t>
      </w:r>
      <w:r w:rsidRPr="005451A6">
        <w:rPr>
          <w:lang w:val="fr-FR"/>
        </w:rPr>
        <w:t>déclarant recevable</w:t>
      </w:r>
      <w:r w:rsidR="00332198" w:rsidRPr="005451A6">
        <w:rPr>
          <w:lang w:val="fr-FR"/>
        </w:rPr>
        <w:t>s</w:t>
      </w:r>
      <w:r w:rsidRPr="005451A6">
        <w:rPr>
          <w:lang w:val="fr-FR"/>
        </w:rPr>
        <w:t>, rejeta sur le fond les allégations du requérant. Elle estima que, en vertu de l</w:t>
      </w:r>
      <w:r w:rsidR="005451A6" w:rsidRPr="005451A6">
        <w:rPr>
          <w:lang w:val="fr-FR"/>
        </w:rPr>
        <w:t>’</w:t>
      </w:r>
      <w:r w:rsidRPr="005451A6">
        <w:rPr>
          <w:lang w:val="fr-FR"/>
        </w:rPr>
        <w:t>article 4, paragraphe 9, de la loi n</w:t>
      </w:r>
      <w:r w:rsidR="003C628F" w:rsidRPr="005451A6">
        <w:rPr>
          <w:vertAlign w:val="superscript"/>
          <w:lang w:val="fr-FR"/>
        </w:rPr>
        <w:t>o</w:t>
      </w:r>
      <w:r w:rsidRPr="005451A6">
        <w:rPr>
          <w:lang w:val="fr-FR"/>
        </w:rPr>
        <w:t xml:space="preserve"> 223/1991,</w:t>
      </w:r>
      <w:r w:rsidR="00526459" w:rsidRPr="005451A6">
        <w:rPr>
          <w:lang w:val="fr-FR"/>
        </w:rPr>
        <w:t xml:space="preserve"> la catégorie des dirigeants </w:t>
      </w:r>
      <w:r w:rsidRPr="005451A6">
        <w:rPr>
          <w:lang w:val="fr-FR"/>
        </w:rPr>
        <w:t>ne pouvait bénéficier de la protection découlant de la loi n</w:t>
      </w:r>
      <w:r w:rsidR="003C628F" w:rsidRPr="005451A6">
        <w:rPr>
          <w:vertAlign w:val="superscript"/>
          <w:lang w:val="fr-FR"/>
        </w:rPr>
        <w:t>o</w:t>
      </w:r>
      <w:r w:rsidRPr="005451A6">
        <w:rPr>
          <w:lang w:val="fr-FR"/>
        </w:rPr>
        <w:t xml:space="preserve"> 223/1991.</w:t>
      </w:r>
    </w:p>
    <w:p w:rsidR="003C628F"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14</w:t>
      </w:r>
      <w:r w:rsidRPr="005451A6">
        <w:rPr>
          <w:lang w:val="fr-FR"/>
        </w:rPr>
        <w:fldChar w:fldCharType="end"/>
      </w:r>
      <w:r w:rsidRPr="005451A6">
        <w:rPr>
          <w:lang w:val="fr-FR"/>
        </w:rPr>
        <w:t xml:space="preserve">.  Le 13 novembre 2007, le requérant </w:t>
      </w:r>
      <w:r w:rsidR="00332198" w:rsidRPr="005451A6">
        <w:rPr>
          <w:lang w:val="fr-FR"/>
        </w:rPr>
        <w:t>se pourvut</w:t>
      </w:r>
      <w:r w:rsidRPr="005451A6">
        <w:rPr>
          <w:lang w:val="fr-FR"/>
        </w:rPr>
        <w:t xml:space="preserve"> en cassation</w:t>
      </w:r>
      <w:r w:rsidR="00332198" w:rsidRPr="005451A6">
        <w:rPr>
          <w:lang w:val="fr-FR"/>
        </w:rPr>
        <w:t>.</w:t>
      </w:r>
      <w:r w:rsidRPr="005451A6">
        <w:rPr>
          <w:lang w:val="fr-FR"/>
        </w:rPr>
        <w:t xml:space="preserve"> Dans </w:t>
      </w:r>
      <w:r w:rsidR="00332198" w:rsidRPr="005451A6">
        <w:rPr>
          <w:lang w:val="fr-FR"/>
        </w:rPr>
        <w:t>l</w:t>
      </w:r>
      <w:r w:rsidR="005451A6" w:rsidRPr="005451A6">
        <w:rPr>
          <w:lang w:val="fr-FR"/>
        </w:rPr>
        <w:t>’</w:t>
      </w:r>
      <w:r w:rsidR="00332198" w:rsidRPr="005451A6">
        <w:rPr>
          <w:lang w:val="fr-FR"/>
        </w:rPr>
        <w:t>unique</w:t>
      </w:r>
      <w:r w:rsidRPr="005451A6">
        <w:rPr>
          <w:lang w:val="fr-FR"/>
        </w:rPr>
        <w:t xml:space="preserve"> moyen, </w:t>
      </w:r>
      <w:r w:rsidR="00332198" w:rsidRPr="005451A6">
        <w:rPr>
          <w:lang w:val="fr-FR"/>
        </w:rPr>
        <w:t>il</w:t>
      </w:r>
      <w:r w:rsidRPr="005451A6">
        <w:rPr>
          <w:lang w:val="fr-FR"/>
        </w:rPr>
        <w:t xml:space="preserve"> attaqua l</w:t>
      </w:r>
      <w:r w:rsidR="005451A6" w:rsidRPr="005451A6">
        <w:rPr>
          <w:lang w:val="fr-FR"/>
        </w:rPr>
        <w:t>’</w:t>
      </w:r>
      <w:r w:rsidRPr="005451A6">
        <w:rPr>
          <w:lang w:val="fr-FR"/>
        </w:rPr>
        <w:t xml:space="preserve">exclusion des </w:t>
      </w:r>
      <w:r w:rsidR="00332198" w:rsidRPr="005451A6">
        <w:rPr>
          <w:lang w:val="fr-FR"/>
        </w:rPr>
        <w:t>dirigeants</w:t>
      </w:r>
      <w:r w:rsidRPr="005451A6">
        <w:rPr>
          <w:lang w:val="fr-FR"/>
        </w:rPr>
        <w:t xml:space="preserve"> comme étant contraire à la législation européenne, en particulier à l</w:t>
      </w:r>
      <w:r w:rsidR="005451A6" w:rsidRPr="005451A6">
        <w:rPr>
          <w:lang w:val="fr-FR"/>
        </w:rPr>
        <w:t>’</w:t>
      </w:r>
      <w:r w:rsidRPr="005451A6">
        <w:rPr>
          <w:lang w:val="fr-FR"/>
        </w:rPr>
        <w:t>article 1 de la directive 98/59, tel qu</w:t>
      </w:r>
      <w:r w:rsidR="005451A6" w:rsidRPr="005451A6">
        <w:rPr>
          <w:lang w:val="fr-FR"/>
        </w:rPr>
        <w:t>’</w:t>
      </w:r>
      <w:r w:rsidRPr="005451A6">
        <w:rPr>
          <w:lang w:val="fr-FR"/>
        </w:rPr>
        <w:t>interprété par la CJUE.</w:t>
      </w:r>
    </w:p>
    <w:p w:rsidR="000C6143"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15</w:t>
      </w:r>
      <w:r w:rsidRPr="005451A6">
        <w:rPr>
          <w:lang w:val="fr-FR"/>
        </w:rPr>
        <w:fldChar w:fldCharType="end"/>
      </w:r>
      <w:r w:rsidRPr="005451A6">
        <w:rPr>
          <w:lang w:val="fr-FR"/>
        </w:rPr>
        <w:t>.  Les parties pertinentes de son mémoire sont rédigées dans les termes suivants</w:t>
      </w:r>
      <w:r w:rsidR="001406C3" w:rsidRPr="005451A6">
        <w:rPr>
          <w:lang w:val="fr-FR"/>
        </w:rPr>
        <w:t> </w:t>
      </w:r>
      <w:r w:rsidRPr="005451A6">
        <w:rPr>
          <w:lang w:val="fr-FR"/>
        </w:rPr>
        <w:t>:</w:t>
      </w:r>
    </w:p>
    <w:p w:rsidR="000C6143" w:rsidRPr="005451A6" w:rsidRDefault="00CA3D1A" w:rsidP="005451A6">
      <w:pPr>
        <w:pStyle w:val="ECHRParaQuote"/>
        <w:rPr>
          <w:lang w:val="fr-FR"/>
        </w:rPr>
      </w:pPr>
      <w:r w:rsidRPr="005451A6">
        <w:rPr>
          <w:lang w:val="fr-FR"/>
        </w:rPr>
        <w:t>« </w:t>
      </w:r>
      <w:r w:rsidR="000C6143" w:rsidRPr="005451A6">
        <w:rPr>
          <w:lang w:val="fr-FR"/>
        </w:rPr>
        <w:t>Moyen – Violation ou mauvaise application de la loi</w:t>
      </w:r>
    </w:p>
    <w:p w:rsidR="003C628F" w:rsidRPr="005451A6" w:rsidRDefault="000C6143" w:rsidP="005451A6">
      <w:pPr>
        <w:pStyle w:val="ECHRParaQuote"/>
        <w:rPr>
          <w:lang w:val="fr-FR"/>
        </w:rPr>
      </w:pPr>
      <w:r w:rsidRPr="005451A6">
        <w:rPr>
          <w:lang w:val="fr-FR"/>
        </w:rPr>
        <w:t>La cour d</w:t>
      </w:r>
      <w:r w:rsidR="005451A6" w:rsidRPr="005451A6">
        <w:rPr>
          <w:lang w:val="fr-FR"/>
        </w:rPr>
        <w:t>’</w:t>
      </w:r>
      <w:r w:rsidRPr="005451A6">
        <w:rPr>
          <w:lang w:val="fr-FR"/>
        </w:rPr>
        <w:t>appel de Milan, dans l</w:t>
      </w:r>
      <w:r w:rsidR="005451A6" w:rsidRPr="005451A6">
        <w:rPr>
          <w:lang w:val="fr-FR"/>
        </w:rPr>
        <w:t>’</w:t>
      </w:r>
      <w:r w:rsidRPr="005451A6">
        <w:rPr>
          <w:lang w:val="fr-FR"/>
        </w:rPr>
        <w:t>arrêt attaqué, après avoir correctement censuré la décision rendue par le juge de première instance, dans la partie où il avait considéré que la force de chose jugée d</w:t>
      </w:r>
      <w:r w:rsidR="005451A6" w:rsidRPr="005451A6">
        <w:rPr>
          <w:lang w:val="fr-FR"/>
        </w:rPr>
        <w:t>’</w:t>
      </w:r>
      <w:r w:rsidRPr="005451A6">
        <w:rPr>
          <w:lang w:val="fr-FR"/>
        </w:rPr>
        <w:t>une décision rendue en matière de déclassement professionnel trouvait à s</w:t>
      </w:r>
      <w:r w:rsidR="005451A6" w:rsidRPr="005451A6">
        <w:rPr>
          <w:lang w:val="fr-FR"/>
        </w:rPr>
        <w:t>’</w:t>
      </w:r>
      <w:r w:rsidRPr="005451A6">
        <w:rPr>
          <w:lang w:val="fr-FR"/>
        </w:rPr>
        <w:t>appliquer dans une procédure portant sur une demande de nullité du licenciement et sur l</w:t>
      </w:r>
      <w:r w:rsidR="005451A6" w:rsidRPr="005451A6">
        <w:rPr>
          <w:lang w:val="fr-FR"/>
        </w:rPr>
        <w:t>’</w:t>
      </w:r>
      <w:r w:rsidRPr="005451A6">
        <w:rPr>
          <w:lang w:val="fr-FR"/>
        </w:rPr>
        <w:t>application de la réintégration (</w:t>
      </w:r>
      <w:r w:rsidRPr="005451A6">
        <w:rPr>
          <w:i/>
          <w:lang w:val="fr-FR"/>
        </w:rPr>
        <w:t>reintegrazione nel posto di lavoro</w:t>
      </w:r>
      <w:r w:rsidRPr="005451A6">
        <w:rPr>
          <w:lang w:val="fr-FR"/>
        </w:rPr>
        <w:t>), a violé ou fait une mauvaise application de la loi, en considérant que l</w:t>
      </w:r>
      <w:r w:rsidR="005451A6" w:rsidRPr="005451A6">
        <w:rPr>
          <w:lang w:val="fr-FR"/>
        </w:rPr>
        <w:t>’</w:t>
      </w:r>
      <w:r w:rsidRPr="005451A6">
        <w:rPr>
          <w:lang w:val="fr-FR"/>
        </w:rPr>
        <w:t>article 24 de la loi 23/7/1991 n</w:t>
      </w:r>
      <w:r w:rsidR="003C628F" w:rsidRPr="005451A6">
        <w:rPr>
          <w:vertAlign w:val="superscript"/>
          <w:lang w:val="fr-FR"/>
        </w:rPr>
        <w:t>o</w:t>
      </w:r>
      <w:r w:rsidRPr="005451A6">
        <w:rPr>
          <w:lang w:val="fr-FR"/>
        </w:rPr>
        <w:t xml:space="preserve"> 223 n</w:t>
      </w:r>
      <w:r w:rsidR="005451A6" w:rsidRPr="005451A6">
        <w:rPr>
          <w:lang w:val="fr-FR"/>
        </w:rPr>
        <w:t>’</w:t>
      </w:r>
      <w:r w:rsidRPr="005451A6">
        <w:rPr>
          <w:lang w:val="fr-FR"/>
        </w:rPr>
        <w:t xml:space="preserve">était pas </w:t>
      </w:r>
      <w:r w:rsidR="00526459" w:rsidRPr="005451A6">
        <w:rPr>
          <w:lang w:val="fr-FR"/>
        </w:rPr>
        <w:t xml:space="preserve">applicable à la catégorie des </w:t>
      </w:r>
      <w:r w:rsidR="00332198" w:rsidRPr="005451A6">
        <w:rPr>
          <w:lang w:val="fr-FR"/>
        </w:rPr>
        <w:t>dirigeants. Et ce,</w:t>
      </w:r>
      <w:r w:rsidRPr="005451A6">
        <w:rPr>
          <w:lang w:val="fr-FR"/>
        </w:rPr>
        <w:t xml:space="preserve"> en vertu du renvoi à l</w:t>
      </w:r>
      <w:r w:rsidR="005451A6" w:rsidRPr="005451A6">
        <w:rPr>
          <w:lang w:val="fr-FR"/>
        </w:rPr>
        <w:t>’</w:t>
      </w:r>
      <w:r w:rsidRPr="005451A6">
        <w:rPr>
          <w:lang w:val="fr-FR"/>
        </w:rPr>
        <w:t>articl</w:t>
      </w:r>
      <w:r w:rsidR="001406C3" w:rsidRPr="005451A6">
        <w:rPr>
          <w:lang w:val="fr-FR"/>
        </w:rPr>
        <w:t>e 4, paragraphe 9, selon lequel : « </w:t>
      </w:r>
      <w:r w:rsidRPr="005451A6">
        <w:rPr>
          <w:lang w:val="fr-FR"/>
        </w:rPr>
        <w:t>Une fois obtenu l</w:t>
      </w:r>
      <w:r w:rsidR="005451A6" w:rsidRPr="005451A6">
        <w:rPr>
          <w:lang w:val="fr-FR"/>
        </w:rPr>
        <w:t>’</w:t>
      </w:r>
      <w:r w:rsidRPr="005451A6">
        <w:rPr>
          <w:lang w:val="fr-FR"/>
        </w:rPr>
        <w:t>accord syndical, ou à l</w:t>
      </w:r>
      <w:r w:rsidR="005451A6" w:rsidRPr="005451A6">
        <w:rPr>
          <w:lang w:val="fr-FR"/>
        </w:rPr>
        <w:t>’</w:t>
      </w:r>
      <w:r w:rsidRPr="005451A6">
        <w:rPr>
          <w:lang w:val="fr-FR"/>
        </w:rPr>
        <w:t>issue de la procédure aux sens des paragraphes 6, 7 et 8, l</w:t>
      </w:r>
      <w:r w:rsidR="005451A6" w:rsidRPr="005451A6">
        <w:rPr>
          <w:lang w:val="fr-FR"/>
        </w:rPr>
        <w:t>’</w:t>
      </w:r>
      <w:r w:rsidRPr="005451A6">
        <w:rPr>
          <w:lang w:val="fr-FR"/>
        </w:rPr>
        <w:t>entreprise a la faculté de placer sur les listes de mobilité les salariés, les ouvriers et les cadres dont les post</w:t>
      </w:r>
      <w:r w:rsidR="001406C3" w:rsidRPr="005451A6">
        <w:rPr>
          <w:lang w:val="fr-FR"/>
        </w:rPr>
        <w:t>es sont excédentaires (omissis) </w:t>
      </w:r>
      <w:r w:rsidRPr="005451A6">
        <w:rPr>
          <w:lang w:val="fr-FR"/>
        </w:rPr>
        <w:t>».</w:t>
      </w:r>
    </w:p>
    <w:p w:rsidR="000C6143" w:rsidRPr="005451A6" w:rsidRDefault="000C6143" w:rsidP="005451A6">
      <w:pPr>
        <w:pStyle w:val="ECHRParaQuote"/>
        <w:rPr>
          <w:lang w:val="fr-FR"/>
        </w:rPr>
      </w:pPr>
      <w:r w:rsidRPr="005451A6">
        <w:rPr>
          <w:lang w:val="fr-FR"/>
        </w:rPr>
        <w:t>Ceci, sans ambigüité aux yeux de la cour (d</w:t>
      </w:r>
      <w:r w:rsidR="005451A6" w:rsidRPr="005451A6">
        <w:rPr>
          <w:lang w:val="fr-FR"/>
        </w:rPr>
        <w:t>’</w:t>
      </w:r>
      <w:r w:rsidRPr="005451A6">
        <w:rPr>
          <w:lang w:val="fr-FR"/>
        </w:rPr>
        <w:t>appel), permit d</w:t>
      </w:r>
      <w:r w:rsidR="005451A6" w:rsidRPr="005451A6">
        <w:rPr>
          <w:lang w:val="fr-FR"/>
        </w:rPr>
        <w:t>’</w:t>
      </w:r>
      <w:r w:rsidRPr="005451A6">
        <w:rPr>
          <w:lang w:val="fr-FR"/>
        </w:rPr>
        <w:t xml:space="preserve">exclure la catégorie des </w:t>
      </w:r>
      <w:r w:rsidR="00332198" w:rsidRPr="005451A6">
        <w:rPr>
          <w:lang w:val="fr-FR"/>
        </w:rPr>
        <w:t>dirigeants</w:t>
      </w:r>
      <w:r w:rsidRPr="005451A6">
        <w:rPr>
          <w:lang w:val="fr-FR"/>
        </w:rPr>
        <w:t>.</w:t>
      </w:r>
    </w:p>
    <w:p w:rsidR="000C6143" w:rsidRPr="005451A6" w:rsidRDefault="000C6143" w:rsidP="005451A6">
      <w:pPr>
        <w:pStyle w:val="ECHRParaQuote"/>
        <w:rPr>
          <w:lang w:val="fr-FR"/>
        </w:rPr>
      </w:pPr>
      <w:r w:rsidRPr="005451A6">
        <w:rPr>
          <w:lang w:val="fr-FR"/>
        </w:rPr>
        <w:t>(</w:t>
      </w:r>
      <w:r w:rsidR="003C628F" w:rsidRPr="005451A6">
        <w:rPr>
          <w:lang w:val="fr-FR"/>
        </w:rPr>
        <w:t>...</w:t>
      </w:r>
      <w:r w:rsidRPr="005451A6">
        <w:rPr>
          <w:lang w:val="fr-FR"/>
        </w:rPr>
        <w:t>)</w:t>
      </w:r>
    </w:p>
    <w:p w:rsidR="000C6143" w:rsidRPr="005451A6" w:rsidRDefault="000C6143" w:rsidP="005451A6">
      <w:pPr>
        <w:pStyle w:val="ECHRParaQuote"/>
        <w:rPr>
          <w:lang w:val="fr-FR"/>
        </w:rPr>
      </w:pPr>
      <w:r w:rsidRPr="005451A6">
        <w:rPr>
          <w:lang w:val="fr-FR"/>
        </w:rPr>
        <w:t>Cette interprétation est clairement absurde si on considère que la (</w:t>
      </w:r>
      <w:r w:rsidR="003C628F" w:rsidRPr="005451A6">
        <w:rPr>
          <w:lang w:val="fr-FR"/>
        </w:rPr>
        <w:t>...</w:t>
      </w:r>
      <w:r w:rsidRPr="005451A6">
        <w:rPr>
          <w:lang w:val="fr-FR"/>
        </w:rPr>
        <w:t>) loi 223/91 représente la transposition de la directive de la Communauté européenne (aujourd</w:t>
      </w:r>
      <w:r w:rsidR="005451A6" w:rsidRPr="005451A6">
        <w:rPr>
          <w:lang w:val="fr-FR"/>
        </w:rPr>
        <w:t>’</w:t>
      </w:r>
      <w:r w:rsidRPr="005451A6">
        <w:rPr>
          <w:lang w:val="fr-FR"/>
        </w:rPr>
        <w:t>hui directive 98/59/CE), adoptée sur le fondement de la résolution du Conseil européen du 21 janvier 1974 tendant au rapprochement des législations des États membres en matière de licenciements collectifs.</w:t>
      </w:r>
    </w:p>
    <w:p w:rsidR="000C6143" w:rsidRPr="005451A6" w:rsidRDefault="000C6143" w:rsidP="005451A6">
      <w:pPr>
        <w:pStyle w:val="ECHRParaQuote"/>
        <w:rPr>
          <w:lang w:val="fr-FR"/>
        </w:rPr>
      </w:pPr>
      <w:r w:rsidRPr="005451A6">
        <w:rPr>
          <w:lang w:val="fr-FR"/>
        </w:rPr>
        <w:t>Or, ladite directive, notamment son article 1, non seulement ne fait aucune distinction entre catégories de travailleurs, mais elle ne concède pas non plus la faculté aux États membre de faire une quelconque distinction au moment de sa transposition dans le système national.</w:t>
      </w:r>
    </w:p>
    <w:p w:rsidR="000C6143" w:rsidRPr="005451A6" w:rsidRDefault="000C6143" w:rsidP="005451A6">
      <w:pPr>
        <w:pStyle w:val="ECHRParaQuote"/>
        <w:keepNext/>
        <w:rPr>
          <w:lang w:val="fr-FR"/>
        </w:rPr>
      </w:pPr>
      <w:r w:rsidRPr="005451A6">
        <w:rPr>
          <w:lang w:val="fr-FR"/>
        </w:rPr>
        <w:t>Aux fins du calcul du quorum qui définit le champ d</w:t>
      </w:r>
      <w:r w:rsidR="005451A6" w:rsidRPr="005451A6">
        <w:rPr>
          <w:lang w:val="fr-FR"/>
        </w:rPr>
        <w:t>’</w:t>
      </w:r>
      <w:r w:rsidRPr="005451A6">
        <w:rPr>
          <w:lang w:val="fr-FR"/>
        </w:rPr>
        <w:t>application d</w:t>
      </w:r>
      <w:r w:rsidR="005451A6" w:rsidRPr="005451A6">
        <w:rPr>
          <w:lang w:val="fr-FR"/>
        </w:rPr>
        <w:t>’</w:t>
      </w:r>
      <w:r w:rsidRPr="005451A6">
        <w:rPr>
          <w:lang w:val="fr-FR"/>
        </w:rPr>
        <w:t>un licenciement collectif, on retrouve dans la directive une uniformité d</w:t>
      </w:r>
      <w:r w:rsidR="005451A6" w:rsidRPr="005451A6">
        <w:rPr>
          <w:lang w:val="fr-FR"/>
        </w:rPr>
        <w:t>’</w:t>
      </w:r>
      <w:r w:rsidRPr="005451A6">
        <w:rPr>
          <w:lang w:val="fr-FR"/>
        </w:rPr>
        <w:t>application à l</w:t>
      </w:r>
      <w:r w:rsidR="005451A6" w:rsidRPr="005451A6">
        <w:rPr>
          <w:lang w:val="fr-FR"/>
        </w:rPr>
        <w:t>’</w:t>
      </w:r>
      <w:r w:rsidRPr="005451A6">
        <w:rPr>
          <w:lang w:val="fr-FR"/>
        </w:rPr>
        <w:t>égard de tous les travailleurs employés par de sociétés privées, à condition qu</w:t>
      </w:r>
      <w:r w:rsidR="005451A6" w:rsidRPr="005451A6">
        <w:rPr>
          <w:lang w:val="fr-FR"/>
        </w:rPr>
        <w:t>’</w:t>
      </w:r>
      <w:r w:rsidRPr="005451A6">
        <w:rPr>
          <w:lang w:val="fr-FR"/>
        </w:rPr>
        <w:t>ils n</w:t>
      </w:r>
      <w:r w:rsidR="005451A6" w:rsidRPr="005451A6">
        <w:rPr>
          <w:lang w:val="fr-FR"/>
        </w:rPr>
        <w:t>’</w:t>
      </w:r>
      <w:r w:rsidRPr="005451A6">
        <w:rPr>
          <w:lang w:val="fr-FR"/>
        </w:rPr>
        <w:t>aient pas été licenciés pour des raisons individuelles et, en plus, selon l</w:t>
      </w:r>
      <w:r w:rsidR="005451A6" w:rsidRPr="005451A6">
        <w:rPr>
          <w:lang w:val="fr-FR"/>
        </w:rPr>
        <w:t>’</w:t>
      </w:r>
      <w:r w:rsidRPr="005451A6">
        <w:rPr>
          <w:lang w:val="fr-FR"/>
        </w:rPr>
        <w:t>interprétation de cette disposition (article 1 de la directive) rendue par la Cour de Justice (CJUE), elle empêche aussi qu</w:t>
      </w:r>
      <w:r w:rsidR="005451A6" w:rsidRPr="005451A6">
        <w:rPr>
          <w:lang w:val="fr-FR"/>
        </w:rPr>
        <w:t>’</w:t>
      </w:r>
      <w:r w:rsidRPr="005451A6">
        <w:rPr>
          <w:lang w:val="fr-FR"/>
        </w:rPr>
        <w:t xml:space="preserve">une norme interne ou nationale puisse exclure, même </w:t>
      </w:r>
      <w:r w:rsidRPr="005451A6">
        <w:rPr>
          <w:lang w:val="fr-FR"/>
        </w:rPr>
        <w:lastRenderedPageBreak/>
        <w:t>temporairement, une catégorie déterminée de travailleurs du calcul du nombre de travailleurs employés.</w:t>
      </w:r>
    </w:p>
    <w:p w:rsidR="000C6143" w:rsidRPr="005451A6" w:rsidRDefault="000C6143" w:rsidP="005451A6">
      <w:pPr>
        <w:pStyle w:val="ECHRParaQuote"/>
        <w:rPr>
          <w:lang w:val="fr-FR"/>
        </w:rPr>
      </w:pPr>
      <w:r w:rsidRPr="005451A6">
        <w:rPr>
          <w:lang w:val="fr-FR"/>
        </w:rPr>
        <w:t>Précise et décisive, à cet égard, a été la décision rendue par la deuxième section de la Cour de Justice le 18.01.07 dans l</w:t>
      </w:r>
      <w:r w:rsidR="005451A6" w:rsidRPr="005451A6">
        <w:rPr>
          <w:lang w:val="fr-FR"/>
        </w:rPr>
        <w:t>’</w:t>
      </w:r>
      <w:r w:rsidRPr="005451A6">
        <w:rPr>
          <w:lang w:val="fr-FR"/>
        </w:rPr>
        <w:t xml:space="preserve">affaire C-385/05 </w:t>
      </w:r>
      <w:r w:rsidR="00332198" w:rsidRPr="005451A6">
        <w:rPr>
          <w:lang w:val="fr-FR"/>
        </w:rPr>
        <w:t>relative à</w:t>
      </w:r>
      <w:r w:rsidRPr="005451A6">
        <w:rPr>
          <w:lang w:val="fr-FR"/>
        </w:rPr>
        <w:t xml:space="preserve"> la question préjudicielle soulevée par le Conseil d</w:t>
      </w:r>
      <w:r w:rsidR="005451A6" w:rsidRPr="005451A6">
        <w:rPr>
          <w:lang w:val="fr-FR"/>
        </w:rPr>
        <w:t>’</w:t>
      </w:r>
      <w:r w:rsidR="001406C3" w:rsidRPr="005451A6">
        <w:rPr>
          <w:lang w:val="fr-FR"/>
        </w:rPr>
        <w:t>État français : « </w:t>
      </w:r>
      <w:r w:rsidRPr="005451A6">
        <w:rPr>
          <w:lang w:val="fr-FR"/>
        </w:rPr>
        <w:t>L</w:t>
      </w:r>
      <w:r w:rsidR="005451A6" w:rsidRPr="005451A6">
        <w:rPr>
          <w:lang w:val="fr-FR"/>
        </w:rPr>
        <w:t>’</w:t>
      </w:r>
      <w:r w:rsidRPr="005451A6">
        <w:rPr>
          <w:lang w:val="fr-FR"/>
        </w:rPr>
        <w:t xml:space="preserve">article 1, </w:t>
      </w:r>
      <w:r w:rsidR="00332198" w:rsidRPr="005451A6">
        <w:rPr>
          <w:lang w:val="fr-FR"/>
        </w:rPr>
        <w:t>alinéa</w:t>
      </w:r>
      <w:r w:rsidRPr="005451A6">
        <w:rPr>
          <w:lang w:val="fr-FR"/>
        </w:rPr>
        <w:t xml:space="preserve"> 1a), de la directive 98/59/CE du Conseil, du 20 juillet 1998, concernant le rapprochement des législations des États membres relatives aux licenciements collectifs, doit être interprété en ce sens qu</w:t>
      </w:r>
      <w:r w:rsidR="005451A6" w:rsidRPr="005451A6">
        <w:rPr>
          <w:lang w:val="fr-FR"/>
        </w:rPr>
        <w:t>’</w:t>
      </w:r>
      <w:r w:rsidRPr="005451A6">
        <w:rPr>
          <w:lang w:val="fr-FR"/>
        </w:rPr>
        <w:t>il s</w:t>
      </w:r>
      <w:r w:rsidR="005451A6" w:rsidRPr="005451A6">
        <w:rPr>
          <w:lang w:val="fr-FR"/>
        </w:rPr>
        <w:t>’</w:t>
      </w:r>
      <w:r w:rsidRPr="005451A6">
        <w:rPr>
          <w:lang w:val="fr-FR"/>
        </w:rPr>
        <w:t xml:space="preserve">oppose à une réglementation nationale qui exclut, fût-ce temporairement, une catégorie déterminée de travailleurs du calcul du nombre de travailleurs employés prévu </w:t>
      </w:r>
      <w:r w:rsidR="00332198" w:rsidRPr="005451A6">
        <w:rPr>
          <w:lang w:val="fr-FR"/>
        </w:rPr>
        <w:t>par</w:t>
      </w:r>
      <w:r w:rsidRPr="005451A6">
        <w:rPr>
          <w:lang w:val="fr-FR"/>
        </w:rPr>
        <w:t xml:space="preserve"> cette disposition</w:t>
      </w:r>
      <w:r w:rsidR="001406C3" w:rsidRPr="005451A6">
        <w:rPr>
          <w:lang w:val="fr-FR"/>
        </w:rPr>
        <w:t> </w:t>
      </w:r>
      <w:r w:rsidRPr="005451A6">
        <w:rPr>
          <w:lang w:val="fr-FR"/>
        </w:rPr>
        <w:t>».</w:t>
      </w:r>
    </w:p>
    <w:p w:rsidR="000C6143" w:rsidRPr="005451A6" w:rsidRDefault="000C6143" w:rsidP="005451A6">
      <w:pPr>
        <w:pStyle w:val="ECHRParaQuote"/>
        <w:rPr>
          <w:lang w:val="fr-FR"/>
        </w:rPr>
      </w:pPr>
      <w:r w:rsidRPr="005451A6">
        <w:rPr>
          <w:lang w:val="fr-FR"/>
        </w:rPr>
        <w:t>(</w:t>
      </w:r>
      <w:r w:rsidR="003C628F" w:rsidRPr="005451A6">
        <w:rPr>
          <w:lang w:val="fr-FR"/>
        </w:rPr>
        <w:t>...</w:t>
      </w:r>
      <w:r w:rsidRPr="005451A6">
        <w:rPr>
          <w:lang w:val="fr-FR"/>
        </w:rPr>
        <w:t>)</w:t>
      </w:r>
    </w:p>
    <w:p w:rsidR="000C6143" w:rsidRPr="005451A6" w:rsidRDefault="000C6143" w:rsidP="005451A6">
      <w:pPr>
        <w:pStyle w:val="ECHRParaQuote"/>
        <w:rPr>
          <w:lang w:val="fr-FR"/>
        </w:rPr>
      </w:pPr>
      <w:r w:rsidRPr="005451A6">
        <w:rPr>
          <w:lang w:val="fr-FR"/>
        </w:rPr>
        <w:t>En outre, il y a lieu de relever que la Cour Constitutionnelle a établi depuis longtemps (arrêts n</w:t>
      </w:r>
      <w:r w:rsidR="003C628F" w:rsidRPr="005451A6">
        <w:rPr>
          <w:vertAlign w:val="superscript"/>
          <w:lang w:val="fr-FR"/>
        </w:rPr>
        <w:t>o</w:t>
      </w:r>
      <w:r w:rsidRPr="005451A6">
        <w:rPr>
          <w:lang w:val="fr-FR"/>
        </w:rPr>
        <w:t xml:space="preserve"> 113/1985 et n</w:t>
      </w:r>
      <w:r w:rsidR="003C628F" w:rsidRPr="005451A6">
        <w:rPr>
          <w:vertAlign w:val="superscript"/>
          <w:lang w:val="fr-FR"/>
        </w:rPr>
        <w:t>o</w:t>
      </w:r>
      <w:r w:rsidRPr="005451A6">
        <w:rPr>
          <w:lang w:val="fr-FR"/>
        </w:rPr>
        <w:t xml:space="preserve"> 389/1989) que les décisions d</w:t>
      </w:r>
      <w:r w:rsidR="005451A6" w:rsidRPr="005451A6">
        <w:rPr>
          <w:lang w:val="fr-FR"/>
        </w:rPr>
        <w:t>’</w:t>
      </w:r>
      <w:r w:rsidRPr="005451A6">
        <w:rPr>
          <w:lang w:val="fr-FR"/>
        </w:rPr>
        <w:t>interprétation de la Cour de Justice doivent être aussitôt appliquées, comme les normes de droit communautaire</w:t>
      </w:r>
      <w:r w:rsidR="003C628F" w:rsidRPr="005451A6">
        <w:rPr>
          <w:lang w:val="fr-FR"/>
        </w:rPr>
        <w:t xml:space="preserve"> </w:t>
      </w:r>
      <w:r w:rsidRPr="005451A6">
        <w:rPr>
          <w:lang w:val="fr-FR"/>
        </w:rPr>
        <w:t xml:space="preserve">et considérées comme </w:t>
      </w:r>
      <w:r w:rsidRPr="005451A6">
        <w:rPr>
          <w:i/>
          <w:lang w:val="fr-FR"/>
        </w:rPr>
        <w:t>jus superveniens</w:t>
      </w:r>
      <w:r w:rsidRPr="005451A6">
        <w:rPr>
          <w:lang w:val="fr-FR"/>
        </w:rPr>
        <w:t>.</w:t>
      </w:r>
    </w:p>
    <w:p w:rsidR="000C6143" w:rsidRPr="005451A6" w:rsidRDefault="000C6143" w:rsidP="005451A6">
      <w:pPr>
        <w:pStyle w:val="ECHRParaQuote"/>
        <w:rPr>
          <w:lang w:val="fr-FR"/>
        </w:rPr>
      </w:pPr>
      <w:r w:rsidRPr="005451A6">
        <w:rPr>
          <w:lang w:val="fr-FR"/>
        </w:rPr>
        <w:t>Cela dit (</w:t>
      </w:r>
      <w:r w:rsidR="003C628F" w:rsidRPr="005451A6">
        <w:rPr>
          <w:lang w:val="fr-FR"/>
        </w:rPr>
        <w:t>...</w:t>
      </w:r>
      <w:r w:rsidRPr="005451A6">
        <w:rPr>
          <w:lang w:val="fr-FR"/>
        </w:rPr>
        <w:t>), il faut considérer que le passage prévu à l</w:t>
      </w:r>
      <w:r w:rsidR="005451A6" w:rsidRPr="005451A6">
        <w:rPr>
          <w:lang w:val="fr-FR"/>
        </w:rPr>
        <w:t>’</w:t>
      </w:r>
      <w:r w:rsidRPr="005451A6">
        <w:rPr>
          <w:lang w:val="fr-FR"/>
        </w:rPr>
        <w:t xml:space="preserve">article 4, </w:t>
      </w:r>
      <w:r w:rsidR="00332198" w:rsidRPr="005451A6">
        <w:rPr>
          <w:lang w:val="fr-FR"/>
        </w:rPr>
        <w:t>alinéa</w:t>
      </w:r>
      <w:r w:rsidRPr="005451A6">
        <w:rPr>
          <w:lang w:val="fr-FR"/>
        </w:rPr>
        <w:t xml:space="preserve"> 9, </w:t>
      </w:r>
      <w:r w:rsidR="00332198" w:rsidRPr="005451A6">
        <w:rPr>
          <w:lang w:val="fr-FR"/>
        </w:rPr>
        <w:t xml:space="preserve">de la </w:t>
      </w:r>
      <w:r w:rsidRPr="005451A6">
        <w:rPr>
          <w:lang w:val="fr-FR"/>
        </w:rPr>
        <w:t>loi</w:t>
      </w:r>
      <w:r w:rsidR="00F74B92" w:rsidRPr="005451A6">
        <w:rPr>
          <w:lang w:val="fr-FR"/>
        </w:rPr>
        <w:t> </w:t>
      </w:r>
      <w:r w:rsidRPr="005451A6">
        <w:rPr>
          <w:lang w:val="fr-FR"/>
        </w:rPr>
        <w:t>223/91, dans la partie où il énumère les catégories que l</w:t>
      </w:r>
      <w:r w:rsidR="005451A6" w:rsidRPr="005451A6">
        <w:rPr>
          <w:lang w:val="fr-FR"/>
        </w:rPr>
        <w:t>’</w:t>
      </w:r>
      <w:r w:rsidRPr="005451A6">
        <w:rPr>
          <w:lang w:val="fr-FR"/>
        </w:rPr>
        <w:t>employeur peut placer dans les listes de mobilité, et où il n</w:t>
      </w:r>
      <w:r w:rsidR="005451A6" w:rsidRPr="005451A6">
        <w:rPr>
          <w:lang w:val="fr-FR"/>
        </w:rPr>
        <w:t>’</w:t>
      </w:r>
      <w:r w:rsidRPr="005451A6">
        <w:rPr>
          <w:lang w:val="fr-FR"/>
        </w:rPr>
        <w:t>apparait pas celle des dirigeants, devait soit être écarté par la cour d</w:t>
      </w:r>
      <w:r w:rsidR="005451A6" w:rsidRPr="005451A6">
        <w:rPr>
          <w:lang w:val="fr-FR"/>
        </w:rPr>
        <w:t>’</w:t>
      </w:r>
      <w:r w:rsidRPr="005451A6">
        <w:rPr>
          <w:lang w:val="fr-FR"/>
        </w:rPr>
        <w:t>appel de Milan, soit, au moins, faire l</w:t>
      </w:r>
      <w:r w:rsidR="005451A6" w:rsidRPr="005451A6">
        <w:rPr>
          <w:lang w:val="fr-FR"/>
        </w:rPr>
        <w:t>’</w:t>
      </w:r>
      <w:r w:rsidRPr="005451A6">
        <w:rPr>
          <w:lang w:val="fr-FR"/>
        </w:rPr>
        <w:t>objet</w:t>
      </w:r>
      <w:r w:rsidR="00332198" w:rsidRPr="005451A6">
        <w:rPr>
          <w:lang w:val="fr-FR"/>
        </w:rPr>
        <w:t xml:space="preserve"> (</w:t>
      </w:r>
      <w:r w:rsidR="0038278D" w:rsidRPr="005451A6">
        <w:rPr>
          <w:lang w:val="fr-FR"/>
        </w:rPr>
        <w:t>...</w:t>
      </w:r>
      <w:r w:rsidR="00332198" w:rsidRPr="005451A6">
        <w:rPr>
          <w:lang w:val="fr-FR"/>
        </w:rPr>
        <w:t>)</w:t>
      </w:r>
      <w:r w:rsidRPr="005451A6">
        <w:rPr>
          <w:lang w:val="fr-FR"/>
        </w:rPr>
        <w:t xml:space="preserve"> d</w:t>
      </w:r>
      <w:r w:rsidR="005451A6" w:rsidRPr="005451A6">
        <w:rPr>
          <w:lang w:val="fr-FR"/>
        </w:rPr>
        <w:t>’</w:t>
      </w:r>
      <w:r w:rsidRPr="005451A6">
        <w:rPr>
          <w:lang w:val="fr-FR"/>
        </w:rPr>
        <w:t>un renvoi préjudiciel à la Cour de Justice, par ailleurs demandé par le requérant, au sens de l</w:t>
      </w:r>
      <w:r w:rsidR="005451A6" w:rsidRPr="005451A6">
        <w:rPr>
          <w:lang w:val="fr-FR"/>
        </w:rPr>
        <w:t>’</w:t>
      </w:r>
      <w:r w:rsidR="000A4EF5" w:rsidRPr="005451A6">
        <w:rPr>
          <w:lang w:val="fr-FR"/>
        </w:rPr>
        <w:t>article </w:t>
      </w:r>
      <w:r w:rsidRPr="005451A6">
        <w:rPr>
          <w:lang w:val="fr-FR"/>
        </w:rPr>
        <w:t>234, paragraphe 2, TCE, dans le but de vérifier la conformité de la législation nationale, qui soutenait la doctrine d</w:t>
      </w:r>
      <w:r w:rsidR="005451A6" w:rsidRPr="005451A6">
        <w:rPr>
          <w:lang w:val="fr-FR"/>
        </w:rPr>
        <w:t>’</w:t>
      </w:r>
      <w:r w:rsidRPr="005451A6">
        <w:rPr>
          <w:lang w:val="fr-FR"/>
        </w:rPr>
        <w:t>exclusion des dirigeants, aux dispositions de la directive.</w:t>
      </w:r>
    </w:p>
    <w:p w:rsidR="000C6143" w:rsidRPr="005451A6" w:rsidRDefault="000C6143" w:rsidP="005451A6">
      <w:pPr>
        <w:pStyle w:val="ECHRParaQuote"/>
        <w:rPr>
          <w:lang w:val="fr-FR"/>
        </w:rPr>
      </w:pPr>
      <w:r w:rsidRPr="005451A6">
        <w:rPr>
          <w:lang w:val="fr-FR"/>
        </w:rPr>
        <w:t>Attendu</w:t>
      </w:r>
    </w:p>
    <w:p w:rsidR="000C6143" w:rsidRPr="005451A6" w:rsidRDefault="000C6143" w:rsidP="005451A6">
      <w:pPr>
        <w:pStyle w:val="ECHRParaQuote"/>
        <w:rPr>
          <w:lang w:val="fr-FR"/>
        </w:rPr>
      </w:pPr>
      <w:r w:rsidRPr="005451A6">
        <w:rPr>
          <w:lang w:val="fr-FR"/>
        </w:rPr>
        <w:t>- que, pourtant, la décision attaquée doit être nécessairement infirmée pour violation ou mauvaise application de la loi et que, au sens de l</w:t>
      </w:r>
      <w:r w:rsidR="005451A6" w:rsidRPr="005451A6">
        <w:rPr>
          <w:lang w:val="fr-FR"/>
        </w:rPr>
        <w:t>’</w:t>
      </w:r>
      <w:r w:rsidRPr="005451A6">
        <w:rPr>
          <w:lang w:val="fr-FR"/>
        </w:rPr>
        <w:t>arrêt de la Cour Constitutionnelle n</w:t>
      </w:r>
      <w:r w:rsidR="003C628F" w:rsidRPr="005451A6">
        <w:rPr>
          <w:vertAlign w:val="superscript"/>
          <w:lang w:val="fr-FR"/>
        </w:rPr>
        <w:t>o</w:t>
      </w:r>
      <w:r w:rsidRPr="005451A6">
        <w:rPr>
          <w:lang w:val="fr-FR"/>
        </w:rPr>
        <w:t xml:space="preserve"> 170/1984, il doit être fait application de l</w:t>
      </w:r>
      <w:r w:rsidR="005451A6" w:rsidRPr="005451A6">
        <w:rPr>
          <w:lang w:val="fr-FR"/>
        </w:rPr>
        <w:t>’</w:t>
      </w:r>
      <w:r w:rsidRPr="005451A6">
        <w:rPr>
          <w:lang w:val="fr-FR"/>
        </w:rPr>
        <w:t>arrêt d</w:t>
      </w:r>
      <w:r w:rsidR="005451A6" w:rsidRPr="005451A6">
        <w:rPr>
          <w:lang w:val="fr-FR"/>
        </w:rPr>
        <w:t>’</w:t>
      </w:r>
      <w:r w:rsidRPr="005451A6">
        <w:rPr>
          <w:lang w:val="fr-FR"/>
        </w:rPr>
        <w:t>interprétation de la Cour de Justice du 18/01/2007 rendu sur l</w:t>
      </w:r>
      <w:r w:rsidR="005451A6" w:rsidRPr="005451A6">
        <w:rPr>
          <w:lang w:val="fr-FR"/>
        </w:rPr>
        <w:t>’</w:t>
      </w:r>
      <w:r w:rsidRPr="005451A6">
        <w:rPr>
          <w:lang w:val="fr-FR"/>
        </w:rPr>
        <w:t>article 1 de la directive 98/59/CE, qui semble confirmer l</w:t>
      </w:r>
      <w:r w:rsidR="005451A6" w:rsidRPr="005451A6">
        <w:rPr>
          <w:lang w:val="fr-FR"/>
        </w:rPr>
        <w:t>’</w:t>
      </w:r>
      <w:r w:rsidRPr="005451A6">
        <w:rPr>
          <w:lang w:val="fr-FR"/>
        </w:rPr>
        <w:t>inexistence d</w:t>
      </w:r>
      <w:r w:rsidR="005451A6" w:rsidRPr="005451A6">
        <w:rPr>
          <w:lang w:val="fr-FR"/>
        </w:rPr>
        <w:t>’</w:t>
      </w:r>
      <w:r w:rsidRPr="005451A6">
        <w:rPr>
          <w:lang w:val="fr-FR"/>
        </w:rPr>
        <w:t>une exclusion de catégories de travailleurs de la protection réelle contre les licenciements collectifs</w:t>
      </w:r>
      <w:r w:rsidR="001406C3" w:rsidRPr="005451A6">
        <w:rPr>
          <w:lang w:val="fr-FR"/>
        </w:rPr>
        <w:t> </w:t>
      </w:r>
      <w:r w:rsidRPr="005451A6">
        <w:rPr>
          <w:lang w:val="fr-FR"/>
        </w:rPr>
        <w:t>;</w:t>
      </w:r>
    </w:p>
    <w:p w:rsidR="000C6143" w:rsidRPr="005451A6" w:rsidRDefault="000C6143" w:rsidP="005451A6">
      <w:pPr>
        <w:pStyle w:val="ECHRParaQuote"/>
        <w:rPr>
          <w:lang w:val="fr-FR"/>
        </w:rPr>
      </w:pPr>
      <w:r w:rsidRPr="005451A6">
        <w:rPr>
          <w:lang w:val="fr-FR"/>
        </w:rPr>
        <w:t>- que, à titre subsidiaire, cette estimable Cour de cassation, aux sens de l</w:t>
      </w:r>
      <w:r w:rsidR="005451A6" w:rsidRPr="005451A6">
        <w:rPr>
          <w:lang w:val="fr-FR"/>
        </w:rPr>
        <w:t>’</w:t>
      </w:r>
      <w:r w:rsidR="000A4EF5" w:rsidRPr="005451A6">
        <w:rPr>
          <w:lang w:val="fr-FR"/>
        </w:rPr>
        <w:t>article </w:t>
      </w:r>
      <w:r w:rsidRPr="005451A6">
        <w:rPr>
          <w:lang w:val="fr-FR"/>
        </w:rPr>
        <w:t>234, paragraphe 3, TCE, peut adresser une question préjudicielle à la Cour de Justice en vue de connaître si l</w:t>
      </w:r>
      <w:r w:rsidR="005451A6" w:rsidRPr="005451A6">
        <w:rPr>
          <w:lang w:val="fr-FR"/>
        </w:rPr>
        <w:t>’</w:t>
      </w:r>
      <w:r w:rsidRPr="005451A6">
        <w:rPr>
          <w:lang w:val="fr-FR"/>
        </w:rPr>
        <w:t>article 4, paragraphe 9, de la loi n</w:t>
      </w:r>
      <w:r w:rsidR="003C628F" w:rsidRPr="005451A6">
        <w:rPr>
          <w:vertAlign w:val="superscript"/>
          <w:lang w:val="fr-FR"/>
        </w:rPr>
        <w:t>o</w:t>
      </w:r>
      <w:r w:rsidRPr="005451A6">
        <w:rPr>
          <w:lang w:val="fr-FR"/>
        </w:rPr>
        <w:t xml:space="preserve"> 223/91 est ou non conforme aux dispositions de l</w:t>
      </w:r>
      <w:r w:rsidR="005451A6" w:rsidRPr="005451A6">
        <w:rPr>
          <w:lang w:val="fr-FR"/>
        </w:rPr>
        <w:t>’</w:t>
      </w:r>
      <w:r w:rsidRPr="005451A6">
        <w:rPr>
          <w:lang w:val="fr-FR"/>
        </w:rPr>
        <w:t>article 1 de la directive 98/59/CE, dans la mesure où son application semble limiter celle de la directive,</w:t>
      </w:r>
      <w:r w:rsidR="00526459" w:rsidRPr="005451A6">
        <w:rPr>
          <w:lang w:val="fr-FR"/>
        </w:rPr>
        <w:t xml:space="preserve"> en excluant la catégorie des</w:t>
      </w:r>
      <w:r w:rsidR="00332198" w:rsidRPr="005451A6">
        <w:rPr>
          <w:lang w:val="fr-FR"/>
        </w:rPr>
        <w:t xml:space="preserve"> dirigeants</w:t>
      </w:r>
      <w:r w:rsidRPr="005451A6">
        <w:rPr>
          <w:lang w:val="fr-FR"/>
        </w:rPr>
        <w:t xml:space="preserve"> du calcul des travailleurs licenciés ;</w:t>
      </w:r>
    </w:p>
    <w:p w:rsidR="000C6143" w:rsidRPr="005451A6" w:rsidRDefault="000C6143" w:rsidP="005451A6">
      <w:pPr>
        <w:pStyle w:val="ECHRParaQuote"/>
        <w:rPr>
          <w:lang w:val="fr-FR"/>
        </w:rPr>
      </w:pPr>
      <w:r w:rsidRPr="005451A6">
        <w:rPr>
          <w:lang w:val="fr-FR"/>
        </w:rPr>
        <w:t>En considérant</w:t>
      </w:r>
    </w:p>
    <w:p w:rsidR="000C6143" w:rsidRPr="005451A6" w:rsidRDefault="000C6143" w:rsidP="005451A6">
      <w:pPr>
        <w:pStyle w:val="ECHRParaQuote"/>
        <w:rPr>
          <w:lang w:val="fr-FR"/>
        </w:rPr>
      </w:pPr>
      <w:r w:rsidRPr="005451A6">
        <w:rPr>
          <w:lang w:val="fr-FR"/>
        </w:rPr>
        <w:t>Tout ce qui vient d</w:t>
      </w:r>
      <w:r w:rsidR="005451A6" w:rsidRPr="005451A6">
        <w:rPr>
          <w:lang w:val="fr-FR"/>
        </w:rPr>
        <w:t>’</w:t>
      </w:r>
      <w:r w:rsidRPr="005451A6">
        <w:rPr>
          <w:lang w:val="fr-FR"/>
        </w:rPr>
        <w:t>être exposé, l</w:t>
      </w:r>
      <w:r w:rsidR="005451A6" w:rsidRPr="005451A6">
        <w:rPr>
          <w:lang w:val="fr-FR"/>
        </w:rPr>
        <w:t>’</w:t>
      </w:r>
      <w:r w:rsidRPr="005451A6">
        <w:rPr>
          <w:lang w:val="fr-FR"/>
        </w:rPr>
        <w:t xml:space="preserve">ingénieur Gino Trevisanato, </w:t>
      </w:r>
      <w:r w:rsidRPr="005451A6">
        <w:rPr>
          <w:i/>
          <w:lang w:val="fr-FR"/>
        </w:rPr>
        <w:t>ut sopra</w:t>
      </w:r>
      <w:r w:rsidRPr="005451A6">
        <w:rPr>
          <w:lang w:val="fr-FR"/>
        </w:rPr>
        <w:t xml:space="preserve"> représenté, domicilié et défendu,</w:t>
      </w:r>
    </w:p>
    <w:p w:rsidR="000C6143" w:rsidRPr="005451A6" w:rsidRDefault="000C6143" w:rsidP="005451A6">
      <w:pPr>
        <w:pStyle w:val="ECHRParaQuote"/>
        <w:rPr>
          <w:lang w:val="fr-FR"/>
        </w:rPr>
      </w:pPr>
      <w:r w:rsidRPr="005451A6">
        <w:rPr>
          <w:lang w:val="fr-FR"/>
        </w:rPr>
        <w:t>Demande</w:t>
      </w:r>
    </w:p>
    <w:p w:rsidR="000C6143" w:rsidRPr="005451A6" w:rsidRDefault="000C6143" w:rsidP="005451A6">
      <w:pPr>
        <w:pStyle w:val="ECHRParaQuote"/>
        <w:rPr>
          <w:lang w:val="fr-FR"/>
        </w:rPr>
      </w:pPr>
      <w:r w:rsidRPr="005451A6">
        <w:rPr>
          <w:lang w:val="fr-FR"/>
        </w:rPr>
        <w:t xml:space="preserve">Que cette très illustre Cour suprême, </w:t>
      </w:r>
      <w:r w:rsidRPr="005451A6">
        <w:rPr>
          <w:i/>
          <w:lang w:val="fr-FR"/>
        </w:rPr>
        <w:t>contrariis rejectis</w:t>
      </w:r>
      <w:r w:rsidRPr="005451A6">
        <w:rPr>
          <w:lang w:val="fr-FR"/>
        </w:rPr>
        <w:t>,</w:t>
      </w:r>
    </w:p>
    <w:p w:rsidR="000C6143" w:rsidRPr="005451A6" w:rsidRDefault="000C6143" w:rsidP="005451A6">
      <w:pPr>
        <w:pStyle w:val="ECHRParaQuote"/>
        <w:rPr>
          <w:lang w:val="fr-FR"/>
        </w:rPr>
      </w:pPr>
      <w:r w:rsidRPr="005451A6">
        <w:rPr>
          <w:lang w:val="fr-FR"/>
        </w:rPr>
        <w:t>Veuille</w:t>
      </w:r>
    </w:p>
    <w:p w:rsidR="000C6143" w:rsidRPr="005451A6" w:rsidRDefault="000C6143" w:rsidP="005451A6">
      <w:pPr>
        <w:pStyle w:val="ECHRParaQuote"/>
        <w:rPr>
          <w:lang w:val="fr-FR"/>
        </w:rPr>
      </w:pPr>
      <w:r w:rsidRPr="005451A6">
        <w:rPr>
          <w:lang w:val="fr-FR"/>
        </w:rPr>
        <w:t>À titre principal</w:t>
      </w:r>
    </w:p>
    <w:p w:rsidR="000C6143" w:rsidRPr="005451A6" w:rsidRDefault="000C6143" w:rsidP="005451A6">
      <w:pPr>
        <w:pStyle w:val="ECHRParaQuote"/>
        <w:rPr>
          <w:lang w:val="fr-FR"/>
        </w:rPr>
      </w:pPr>
      <w:r w:rsidRPr="005451A6">
        <w:rPr>
          <w:lang w:val="fr-FR"/>
        </w:rPr>
        <w:t>Relever le conflit flagrant entre la législation européenne directement applicable, à savoir l</w:t>
      </w:r>
      <w:r w:rsidR="005451A6" w:rsidRPr="005451A6">
        <w:rPr>
          <w:lang w:val="fr-FR"/>
        </w:rPr>
        <w:t>’</w:t>
      </w:r>
      <w:r w:rsidRPr="005451A6">
        <w:rPr>
          <w:lang w:val="fr-FR"/>
        </w:rPr>
        <w:t>article 1 des directives 92/56/CE et 98/56/CE du Conseil, et la disposition prévue à l</w:t>
      </w:r>
      <w:r w:rsidR="005451A6" w:rsidRPr="005451A6">
        <w:rPr>
          <w:lang w:val="fr-FR"/>
        </w:rPr>
        <w:t>’</w:t>
      </w:r>
      <w:r w:rsidRPr="005451A6">
        <w:rPr>
          <w:lang w:val="fr-FR"/>
        </w:rPr>
        <w:t xml:space="preserve">article 4, </w:t>
      </w:r>
      <w:r w:rsidR="00332198" w:rsidRPr="005451A6">
        <w:rPr>
          <w:lang w:val="fr-FR"/>
        </w:rPr>
        <w:t>alinéa</w:t>
      </w:r>
      <w:r w:rsidRPr="005451A6">
        <w:rPr>
          <w:lang w:val="fr-FR"/>
        </w:rPr>
        <w:t xml:space="preserve"> 9, </w:t>
      </w:r>
      <w:r w:rsidR="00332198" w:rsidRPr="005451A6">
        <w:rPr>
          <w:lang w:val="fr-FR"/>
        </w:rPr>
        <w:t xml:space="preserve">de la </w:t>
      </w:r>
      <w:r w:rsidRPr="005451A6">
        <w:rPr>
          <w:lang w:val="fr-FR"/>
        </w:rPr>
        <w:t>loi n</w:t>
      </w:r>
      <w:r w:rsidR="003C628F" w:rsidRPr="005451A6">
        <w:rPr>
          <w:vertAlign w:val="superscript"/>
          <w:lang w:val="fr-FR"/>
        </w:rPr>
        <w:t>o</w:t>
      </w:r>
      <w:r w:rsidRPr="005451A6">
        <w:rPr>
          <w:lang w:val="fr-FR"/>
        </w:rPr>
        <w:t xml:space="preserve"> 223 du 1991 qui, dans la décision contestée, </w:t>
      </w:r>
      <w:r w:rsidRPr="005451A6">
        <w:rPr>
          <w:lang w:val="fr-FR"/>
        </w:rPr>
        <w:lastRenderedPageBreak/>
        <w:t>est prise comme fondement de l</w:t>
      </w:r>
      <w:r w:rsidR="005451A6" w:rsidRPr="005451A6">
        <w:rPr>
          <w:lang w:val="fr-FR"/>
        </w:rPr>
        <w:t>’</w:t>
      </w:r>
      <w:r w:rsidRPr="005451A6">
        <w:rPr>
          <w:lang w:val="fr-FR"/>
        </w:rPr>
        <w:t>exclusion d</w:t>
      </w:r>
      <w:r w:rsidR="005451A6" w:rsidRPr="005451A6">
        <w:rPr>
          <w:lang w:val="fr-FR"/>
        </w:rPr>
        <w:t>’</w:t>
      </w:r>
      <w:r w:rsidRPr="005451A6">
        <w:rPr>
          <w:lang w:val="fr-FR"/>
        </w:rPr>
        <w:t>application de la loi 223/91 à l</w:t>
      </w:r>
      <w:r w:rsidR="005451A6" w:rsidRPr="005451A6">
        <w:rPr>
          <w:lang w:val="fr-FR"/>
        </w:rPr>
        <w:t>’</w:t>
      </w:r>
      <w:r w:rsidR="00526459" w:rsidRPr="005451A6">
        <w:rPr>
          <w:lang w:val="fr-FR"/>
        </w:rPr>
        <w:t xml:space="preserve">égard des </w:t>
      </w:r>
      <w:r w:rsidR="00332198" w:rsidRPr="005451A6">
        <w:rPr>
          <w:lang w:val="fr-FR"/>
        </w:rPr>
        <w:t>dirigeants</w:t>
      </w:r>
      <w:r w:rsidR="001406C3" w:rsidRPr="005451A6">
        <w:rPr>
          <w:lang w:val="fr-FR"/>
        </w:rPr>
        <w:t> </w:t>
      </w:r>
      <w:r w:rsidRPr="005451A6">
        <w:rPr>
          <w:lang w:val="fr-FR"/>
        </w:rPr>
        <w:t>;</w:t>
      </w:r>
    </w:p>
    <w:p w:rsidR="000C6143" w:rsidRPr="005451A6" w:rsidRDefault="000C6143" w:rsidP="005451A6">
      <w:pPr>
        <w:pStyle w:val="ECHRParaQuote"/>
        <w:rPr>
          <w:lang w:val="fr-FR"/>
        </w:rPr>
      </w:pPr>
      <w:r w:rsidRPr="005451A6">
        <w:rPr>
          <w:lang w:val="fr-FR"/>
        </w:rPr>
        <w:t>Relever qu</w:t>
      </w:r>
      <w:r w:rsidR="005451A6" w:rsidRPr="005451A6">
        <w:rPr>
          <w:lang w:val="fr-FR"/>
        </w:rPr>
        <w:t>’</w:t>
      </w:r>
      <w:r w:rsidRPr="005451A6">
        <w:rPr>
          <w:lang w:val="fr-FR"/>
        </w:rPr>
        <w:t>il faut appliquer, aux sens des arrêts de la Cour Constitutionnelle n</w:t>
      </w:r>
      <w:r w:rsidRPr="005451A6">
        <w:rPr>
          <w:vertAlign w:val="superscript"/>
          <w:lang w:val="fr-FR"/>
        </w:rPr>
        <w:t>os</w:t>
      </w:r>
      <w:r w:rsidR="000A4EF5" w:rsidRPr="005451A6">
        <w:rPr>
          <w:vertAlign w:val="superscript"/>
          <w:lang w:val="fr-FR"/>
        </w:rPr>
        <w:t> </w:t>
      </w:r>
      <w:r w:rsidRPr="005451A6">
        <w:rPr>
          <w:lang w:val="fr-FR"/>
        </w:rPr>
        <w:t>113/1985 et 389/1989, l</w:t>
      </w:r>
      <w:r w:rsidR="005451A6" w:rsidRPr="005451A6">
        <w:rPr>
          <w:lang w:val="fr-FR"/>
        </w:rPr>
        <w:t>’</w:t>
      </w:r>
      <w:r w:rsidRPr="005451A6">
        <w:rPr>
          <w:lang w:val="fr-FR"/>
        </w:rPr>
        <w:t>interprétation fournie par la Cour de Justice en date du 18/01/2007 selon laquelle l</w:t>
      </w:r>
      <w:r w:rsidR="005451A6" w:rsidRPr="005451A6">
        <w:rPr>
          <w:lang w:val="fr-FR"/>
        </w:rPr>
        <w:t>’</w:t>
      </w:r>
      <w:r w:rsidRPr="005451A6">
        <w:rPr>
          <w:lang w:val="fr-FR"/>
        </w:rPr>
        <w:t>article 1, n</w:t>
      </w:r>
      <w:r w:rsidR="003C628F" w:rsidRPr="005451A6">
        <w:rPr>
          <w:vertAlign w:val="superscript"/>
          <w:lang w:val="fr-FR"/>
        </w:rPr>
        <w:t>o</w:t>
      </w:r>
      <w:r w:rsidRPr="005451A6">
        <w:rPr>
          <w:lang w:val="fr-FR"/>
        </w:rPr>
        <w:t xml:space="preserve"> 1, let. a) de la directive du Conseil 98/56/CE du 20/07/1998 doit être interprété dans le sens qu</w:t>
      </w:r>
      <w:r w:rsidR="005451A6" w:rsidRPr="005451A6">
        <w:rPr>
          <w:lang w:val="fr-FR"/>
        </w:rPr>
        <w:t>’</w:t>
      </w:r>
      <w:r w:rsidRPr="005451A6">
        <w:rPr>
          <w:lang w:val="fr-FR"/>
        </w:rPr>
        <w:t>il s</w:t>
      </w:r>
      <w:r w:rsidR="005451A6" w:rsidRPr="005451A6">
        <w:rPr>
          <w:lang w:val="fr-FR"/>
        </w:rPr>
        <w:t>’</w:t>
      </w:r>
      <w:r w:rsidRPr="005451A6">
        <w:rPr>
          <w:lang w:val="fr-FR"/>
        </w:rPr>
        <w:t>oppose à une législation nationale qui exclut, même temporairement, une catégorie déterminée de travailleurs du calcul de travailleurs employés, prévus par cet article et, à cet effet et a fortiori, du calcul des travailleurs licenciés, également prévus par cette disposition.</w:t>
      </w:r>
    </w:p>
    <w:p w:rsidR="000C6143" w:rsidRPr="005451A6" w:rsidRDefault="000C6143" w:rsidP="005451A6">
      <w:pPr>
        <w:pStyle w:val="ECHRParaQuote"/>
        <w:rPr>
          <w:lang w:val="fr-FR"/>
        </w:rPr>
      </w:pPr>
      <w:r w:rsidRPr="005451A6">
        <w:rPr>
          <w:lang w:val="fr-FR"/>
        </w:rPr>
        <w:t>Infirmer la décision n</w:t>
      </w:r>
      <w:r w:rsidR="003C628F" w:rsidRPr="005451A6">
        <w:rPr>
          <w:vertAlign w:val="superscript"/>
          <w:lang w:val="fr-FR"/>
        </w:rPr>
        <w:t>o</w:t>
      </w:r>
      <w:r w:rsidRPr="005451A6">
        <w:rPr>
          <w:lang w:val="fr-FR"/>
        </w:rPr>
        <w:t>75 de la cour d</w:t>
      </w:r>
      <w:r w:rsidR="005451A6" w:rsidRPr="005451A6">
        <w:rPr>
          <w:lang w:val="fr-FR"/>
        </w:rPr>
        <w:t>’</w:t>
      </w:r>
      <w:r w:rsidRPr="005451A6">
        <w:rPr>
          <w:lang w:val="fr-FR"/>
        </w:rPr>
        <w:t>appel de Milan, rendue le 23/01/2007, qui n</w:t>
      </w:r>
      <w:r w:rsidR="005451A6" w:rsidRPr="005451A6">
        <w:rPr>
          <w:lang w:val="fr-FR"/>
        </w:rPr>
        <w:t>’</w:t>
      </w:r>
      <w:r w:rsidRPr="005451A6">
        <w:rPr>
          <w:lang w:val="fr-FR"/>
        </w:rPr>
        <w:t>a pas écarté la disposition mentionnée en faveur de la législation communautaire, en violant de cette manière ou en faisant une mauvaise application de la loi qui, aux sens de l</w:t>
      </w:r>
      <w:r w:rsidR="005451A6" w:rsidRPr="005451A6">
        <w:rPr>
          <w:lang w:val="fr-FR"/>
        </w:rPr>
        <w:t>’</w:t>
      </w:r>
      <w:r w:rsidRPr="005451A6">
        <w:rPr>
          <w:lang w:val="fr-FR"/>
        </w:rPr>
        <w:t>article 384 du code de procédure civile, comporte la formulation du principe de droit, à appliquer par le juge de renvoi, ou la décision au fond, compte tenu de l</w:t>
      </w:r>
      <w:r w:rsidR="005451A6" w:rsidRPr="005451A6">
        <w:rPr>
          <w:lang w:val="fr-FR"/>
        </w:rPr>
        <w:t>’</w:t>
      </w:r>
      <w:r w:rsidRPr="005451A6">
        <w:rPr>
          <w:lang w:val="fr-FR"/>
        </w:rPr>
        <w:t>existence d</w:t>
      </w:r>
      <w:r w:rsidR="005451A6" w:rsidRPr="005451A6">
        <w:rPr>
          <w:lang w:val="fr-FR"/>
        </w:rPr>
        <w:t>’</w:t>
      </w:r>
      <w:r w:rsidRPr="005451A6">
        <w:rPr>
          <w:lang w:val="fr-FR"/>
        </w:rPr>
        <w:t>un licenciement collectif, aux sens de l</w:t>
      </w:r>
      <w:r w:rsidR="005451A6" w:rsidRPr="005451A6">
        <w:rPr>
          <w:lang w:val="fr-FR"/>
        </w:rPr>
        <w:t>’</w:t>
      </w:r>
      <w:r w:rsidRPr="005451A6">
        <w:rPr>
          <w:lang w:val="fr-FR"/>
        </w:rPr>
        <w:t>article 24 de la loi n</w:t>
      </w:r>
      <w:r w:rsidR="003C628F" w:rsidRPr="005451A6">
        <w:rPr>
          <w:vertAlign w:val="superscript"/>
          <w:lang w:val="fr-FR"/>
        </w:rPr>
        <w:t>o</w:t>
      </w:r>
      <w:r w:rsidRPr="005451A6">
        <w:rPr>
          <w:lang w:val="fr-FR"/>
        </w:rPr>
        <w:t xml:space="preserve"> 223 du 1991, régulièrement contesté en vertu de la loi.</w:t>
      </w:r>
    </w:p>
    <w:p w:rsidR="000C6143" w:rsidRPr="005451A6" w:rsidRDefault="000C6143" w:rsidP="005451A6">
      <w:pPr>
        <w:pStyle w:val="ECHRParaQuote"/>
        <w:rPr>
          <w:lang w:val="fr-FR"/>
        </w:rPr>
      </w:pPr>
      <w:r w:rsidRPr="005451A6">
        <w:rPr>
          <w:lang w:val="fr-FR"/>
        </w:rPr>
        <w:t>À cet égard, on rappelle que, comme dans les recours de première et deuxième instances, les demandes concernent la vérification et la déclaration de nullité et/ou d</w:t>
      </w:r>
      <w:r w:rsidR="005451A6" w:rsidRPr="005451A6">
        <w:rPr>
          <w:lang w:val="fr-FR"/>
        </w:rPr>
        <w:t>’</w:t>
      </w:r>
      <w:r w:rsidRPr="005451A6">
        <w:rPr>
          <w:lang w:val="fr-FR"/>
        </w:rPr>
        <w:t>inefficacité du licenciement pour violation des articles 4, 5, et 24 de la loi n</w:t>
      </w:r>
      <w:r w:rsidR="003C628F" w:rsidRPr="005451A6">
        <w:rPr>
          <w:vertAlign w:val="superscript"/>
          <w:lang w:val="fr-FR"/>
        </w:rPr>
        <w:t>o</w:t>
      </w:r>
      <w:r w:rsidRPr="005451A6">
        <w:rPr>
          <w:lang w:val="fr-FR"/>
        </w:rPr>
        <w:t xml:space="preserve"> 223 du 1991 et l</w:t>
      </w:r>
      <w:r w:rsidR="005451A6" w:rsidRPr="005451A6">
        <w:rPr>
          <w:lang w:val="fr-FR"/>
        </w:rPr>
        <w:t>’</w:t>
      </w:r>
      <w:r w:rsidRPr="005451A6">
        <w:rPr>
          <w:lang w:val="fr-FR"/>
        </w:rPr>
        <w:t>application qui s</w:t>
      </w:r>
      <w:r w:rsidR="005451A6" w:rsidRPr="005451A6">
        <w:rPr>
          <w:lang w:val="fr-FR"/>
        </w:rPr>
        <w:t>’</w:t>
      </w:r>
      <w:r w:rsidRPr="005451A6">
        <w:rPr>
          <w:lang w:val="fr-FR"/>
        </w:rPr>
        <w:t>ensuit, prévue à l</w:t>
      </w:r>
      <w:r w:rsidR="005451A6" w:rsidRPr="005451A6">
        <w:rPr>
          <w:lang w:val="fr-FR"/>
        </w:rPr>
        <w:t>’</w:t>
      </w:r>
      <w:r w:rsidRPr="005451A6">
        <w:rPr>
          <w:lang w:val="fr-FR"/>
        </w:rPr>
        <w:t>article 5, troisième paragraphe, de l</w:t>
      </w:r>
      <w:r w:rsidR="005451A6" w:rsidRPr="005451A6">
        <w:rPr>
          <w:lang w:val="fr-FR"/>
        </w:rPr>
        <w:t>’</w:t>
      </w:r>
      <w:r w:rsidRPr="005451A6">
        <w:rPr>
          <w:lang w:val="fr-FR"/>
        </w:rPr>
        <w:t>article 18 de la loi 300/1970 qui prescrit la réintégration en service du requérant et le versement d</w:t>
      </w:r>
      <w:r w:rsidR="005451A6" w:rsidRPr="005451A6">
        <w:rPr>
          <w:lang w:val="fr-FR"/>
        </w:rPr>
        <w:t>’</w:t>
      </w:r>
      <w:r w:rsidRPr="005451A6">
        <w:rPr>
          <w:lang w:val="fr-FR"/>
        </w:rPr>
        <w:t>une indemnité (</w:t>
      </w:r>
      <w:r w:rsidR="003C628F" w:rsidRPr="005451A6">
        <w:rPr>
          <w:lang w:val="fr-FR"/>
        </w:rPr>
        <w:t>...</w:t>
      </w:r>
      <w:r w:rsidRPr="005451A6">
        <w:rPr>
          <w:lang w:val="fr-FR"/>
        </w:rPr>
        <w:t>).</w:t>
      </w:r>
    </w:p>
    <w:p w:rsidR="000C6143" w:rsidRPr="005451A6" w:rsidRDefault="000C6143" w:rsidP="005451A6">
      <w:pPr>
        <w:pStyle w:val="ECHRParaQuote"/>
        <w:rPr>
          <w:lang w:val="fr-FR"/>
        </w:rPr>
      </w:pPr>
      <w:r w:rsidRPr="005451A6">
        <w:rPr>
          <w:lang w:val="fr-FR"/>
        </w:rPr>
        <w:t>À titre subsidiaire</w:t>
      </w:r>
    </w:p>
    <w:p w:rsidR="000C6143" w:rsidRPr="005451A6" w:rsidRDefault="000C6143" w:rsidP="005451A6">
      <w:pPr>
        <w:pStyle w:val="ECHRParaQuote"/>
        <w:rPr>
          <w:lang w:val="fr-FR"/>
        </w:rPr>
      </w:pPr>
      <w:r w:rsidRPr="005451A6">
        <w:rPr>
          <w:lang w:val="fr-FR"/>
        </w:rPr>
        <w:t>Vu l</w:t>
      </w:r>
      <w:r w:rsidR="005451A6" w:rsidRPr="005451A6">
        <w:rPr>
          <w:lang w:val="fr-FR"/>
        </w:rPr>
        <w:t>’</w:t>
      </w:r>
      <w:r w:rsidRPr="005451A6">
        <w:rPr>
          <w:lang w:val="fr-FR"/>
        </w:rPr>
        <w:t>article 224, paragraphe 3, TCE,</w:t>
      </w:r>
    </w:p>
    <w:p w:rsidR="000C6143" w:rsidRPr="005451A6" w:rsidRDefault="000C6143" w:rsidP="005451A6">
      <w:pPr>
        <w:pStyle w:val="ECHRParaQuote"/>
        <w:rPr>
          <w:lang w:val="fr-FR"/>
        </w:rPr>
      </w:pPr>
      <w:r w:rsidRPr="005451A6">
        <w:rPr>
          <w:lang w:val="fr-FR"/>
        </w:rPr>
        <w:t>Suspendre la présente procédure et</w:t>
      </w:r>
    </w:p>
    <w:p w:rsidR="000C6143" w:rsidRPr="005451A6" w:rsidRDefault="000C6143" w:rsidP="005451A6">
      <w:pPr>
        <w:pStyle w:val="ECHRParaQuote"/>
        <w:rPr>
          <w:lang w:val="fr-FR"/>
        </w:rPr>
      </w:pPr>
      <w:r w:rsidRPr="005451A6">
        <w:rPr>
          <w:lang w:val="fr-FR"/>
        </w:rPr>
        <w:t>Poser à la Cour de Justice (CJUE) une question préjudicielle portant sur la conformité de la norme interne, à savoir l</w:t>
      </w:r>
      <w:r w:rsidR="005451A6" w:rsidRPr="005451A6">
        <w:rPr>
          <w:lang w:val="fr-FR"/>
        </w:rPr>
        <w:t>’</w:t>
      </w:r>
      <w:r w:rsidRPr="005451A6">
        <w:rPr>
          <w:lang w:val="fr-FR"/>
        </w:rPr>
        <w:t>article 4, paragraphe 9 de la loi 223/1991, qui a permis d</w:t>
      </w:r>
      <w:r w:rsidR="005451A6" w:rsidRPr="005451A6">
        <w:rPr>
          <w:lang w:val="fr-FR"/>
        </w:rPr>
        <w:t>’</w:t>
      </w:r>
      <w:r w:rsidRPr="005451A6">
        <w:rPr>
          <w:lang w:val="fr-FR"/>
        </w:rPr>
        <w:t xml:space="preserve">exclure la catégorie des </w:t>
      </w:r>
      <w:r w:rsidR="00332198" w:rsidRPr="005451A6">
        <w:rPr>
          <w:lang w:val="fr-FR"/>
        </w:rPr>
        <w:t>dirigeants</w:t>
      </w:r>
      <w:r w:rsidRPr="005451A6">
        <w:rPr>
          <w:lang w:val="fr-FR"/>
        </w:rPr>
        <w:t xml:space="preserve"> de la protection sur les licenciements collectifs prévues, au contraire, pour tous les travailleurs salariés dans les directives 92/56/CE et 98/59/CE, et notamment du calcul prévu à l</w:t>
      </w:r>
      <w:r w:rsidR="005451A6" w:rsidRPr="005451A6">
        <w:rPr>
          <w:lang w:val="fr-FR"/>
        </w:rPr>
        <w:t>’</w:t>
      </w:r>
      <w:r w:rsidRPr="005451A6">
        <w:rPr>
          <w:lang w:val="fr-FR"/>
        </w:rPr>
        <w:t>article 1 des directives mentionnées.</w:t>
      </w:r>
    </w:p>
    <w:p w:rsidR="00C72B00" w:rsidRPr="005451A6" w:rsidRDefault="000C6143" w:rsidP="005451A6">
      <w:pPr>
        <w:pStyle w:val="ECHRParaQuote"/>
        <w:rPr>
          <w:lang w:val="fr-FR"/>
        </w:rPr>
      </w:pPr>
      <w:r w:rsidRPr="005451A6">
        <w:rPr>
          <w:lang w:val="fr-FR"/>
        </w:rPr>
        <w:t>(</w:t>
      </w:r>
      <w:r w:rsidR="003C628F" w:rsidRPr="005451A6">
        <w:rPr>
          <w:lang w:val="fr-FR"/>
        </w:rPr>
        <w:t>...</w:t>
      </w:r>
      <w:r w:rsidRPr="005451A6">
        <w:rPr>
          <w:lang w:val="fr-FR"/>
        </w:rPr>
        <w:t>)</w:t>
      </w:r>
      <w:r w:rsidR="001406C3" w:rsidRPr="005451A6">
        <w:rPr>
          <w:lang w:val="fr-FR"/>
        </w:rPr>
        <w:t> </w:t>
      </w:r>
      <w:r w:rsidR="00CA3D1A" w:rsidRPr="005451A6">
        <w:rPr>
          <w:lang w:val="fr-FR"/>
        </w:rPr>
        <w:t>»</w:t>
      </w:r>
    </w:p>
    <w:p w:rsidR="003C628F"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16</w:t>
      </w:r>
      <w:r w:rsidRPr="005451A6">
        <w:rPr>
          <w:lang w:val="fr-FR"/>
        </w:rPr>
        <w:fldChar w:fldCharType="end"/>
      </w:r>
      <w:r w:rsidRPr="005451A6">
        <w:rPr>
          <w:lang w:val="fr-FR"/>
        </w:rPr>
        <w:t xml:space="preserve">.  Le 28 octobre 2010, la Cour de cassation, </w:t>
      </w:r>
      <w:r w:rsidR="00E76E51" w:rsidRPr="005451A6">
        <w:rPr>
          <w:lang w:val="fr-FR"/>
        </w:rPr>
        <w:t xml:space="preserve">conformément à </w:t>
      </w:r>
      <w:r w:rsidRPr="005451A6">
        <w:rPr>
          <w:lang w:val="fr-FR"/>
        </w:rPr>
        <w:t>l</w:t>
      </w:r>
      <w:r w:rsidR="005451A6" w:rsidRPr="005451A6">
        <w:rPr>
          <w:lang w:val="fr-FR"/>
        </w:rPr>
        <w:t>’</w:t>
      </w:r>
      <w:r w:rsidRPr="005451A6">
        <w:rPr>
          <w:lang w:val="fr-FR"/>
        </w:rPr>
        <w:t>article</w:t>
      </w:r>
      <w:r w:rsidR="00F74B92" w:rsidRPr="005451A6">
        <w:rPr>
          <w:lang w:val="fr-FR"/>
        </w:rPr>
        <w:t> </w:t>
      </w:r>
      <w:r w:rsidRPr="005451A6">
        <w:rPr>
          <w:lang w:val="fr-FR"/>
        </w:rPr>
        <w:t>366</w:t>
      </w:r>
      <w:r w:rsidRPr="005451A6">
        <w:rPr>
          <w:i/>
          <w:lang w:val="fr-FR"/>
        </w:rPr>
        <w:t>bis</w:t>
      </w:r>
      <w:r w:rsidRPr="005451A6">
        <w:rPr>
          <w:lang w:val="fr-FR"/>
        </w:rPr>
        <w:t xml:space="preserve"> du CPC, applicable</w:t>
      </w:r>
      <w:r w:rsidR="009903E6" w:rsidRPr="005451A6">
        <w:rPr>
          <w:lang w:val="fr-FR"/>
        </w:rPr>
        <w:t xml:space="preserve"> en vertu de</w:t>
      </w:r>
      <w:r w:rsidR="00544816" w:rsidRPr="005451A6">
        <w:rPr>
          <w:lang w:val="fr-FR"/>
        </w:rPr>
        <w:t xml:space="preserve"> l</w:t>
      </w:r>
      <w:r w:rsidR="005451A6" w:rsidRPr="005451A6">
        <w:rPr>
          <w:lang w:val="fr-FR"/>
        </w:rPr>
        <w:t>’</w:t>
      </w:r>
      <w:r w:rsidR="00544816" w:rsidRPr="005451A6">
        <w:rPr>
          <w:lang w:val="fr-FR"/>
        </w:rPr>
        <w:t>article 27, alinéa 2, du décret législatif n</w:t>
      </w:r>
      <w:r w:rsidR="0038278D" w:rsidRPr="005451A6">
        <w:rPr>
          <w:vertAlign w:val="superscript"/>
          <w:lang w:val="fr-FR"/>
        </w:rPr>
        <w:t>o</w:t>
      </w:r>
      <w:r w:rsidR="00544816" w:rsidRPr="005451A6">
        <w:rPr>
          <w:lang w:val="fr-FR"/>
        </w:rPr>
        <w:t xml:space="preserve"> 40/2006</w:t>
      </w:r>
      <w:r w:rsidR="00FE79FE" w:rsidRPr="005451A6">
        <w:rPr>
          <w:lang w:val="fr-FR"/>
        </w:rPr>
        <w:t xml:space="preserve"> et de l</w:t>
      </w:r>
      <w:r w:rsidR="005451A6" w:rsidRPr="005451A6">
        <w:rPr>
          <w:lang w:val="fr-FR"/>
        </w:rPr>
        <w:t>’</w:t>
      </w:r>
      <w:r w:rsidR="00FE79FE" w:rsidRPr="005451A6">
        <w:rPr>
          <w:lang w:val="fr-FR"/>
        </w:rPr>
        <w:t>article 47 de la loi n</w:t>
      </w:r>
      <w:r w:rsidR="0038278D" w:rsidRPr="005451A6">
        <w:rPr>
          <w:vertAlign w:val="superscript"/>
          <w:lang w:val="fr-FR"/>
        </w:rPr>
        <w:t>o</w:t>
      </w:r>
      <w:r w:rsidR="00FE79FE" w:rsidRPr="005451A6">
        <w:rPr>
          <w:lang w:val="fr-FR"/>
        </w:rPr>
        <w:t xml:space="preserve"> 69/2009, </w:t>
      </w:r>
      <w:r w:rsidRPr="005451A6">
        <w:rPr>
          <w:lang w:val="fr-FR"/>
        </w:rPr>
        <w:t xml:space="preserve">déclara le pourvoi irrecevable </w:t>
      </w:r>
      <w:r w:rsidR="00332198" w:rsidRPr="005451A6">
        <w:rPr>
          <w:lang w:val="fr-FR"/>
        </w:rPr>
        <w:t>faute</w:t>
      </w:r>
      <w:r w:rsidR="00DE08FC" w:rsidRPr="005451A6">
        <w:rPr>
          <w:lang w:val="fr-FR"/>
        </w:rPr>
        <w:t xml:space="preserve"> de formulation</w:t>
      </w:r>
      <w:r w:rsidR="00526459" w:rsidRPr="005451A6">
        <w:rPr>
          <w:lang w:val="fr-FR"/>
        </w:rPr>
        <w:t xml:space="preserve"> </w:t>
      </w:r>
      <w:r w:rsidR="00DE08FC" w:rsidRPr="005451A6">
        <w:rPr>
          <w:lang w:val="fr-FR"/>
        </w:rPr>
        <w:t>adéquate et approprié</w:t>
      </w:r>
      <w:r w:rsidR="00526459" w:rsidRPr="005451A6">
        <w:rPr>
          <w:lang w:val="fr-FR"/>
        </w:rPr>
        <w:t xml:space="preserve">e </w:t>
      </w:r>
      <w:r w:rsidR="00332198" w:rsidRPr="005451A6">
        <w:rPr>
          <w:lang w:val="fr-FR"/>
        </w:rPr>
        <w:t>du point de</w:t>
      </w:r>
      <w:r w:rsidR="00526459" w:rsidRPr="005451A6">
        <w:rPr>
          <w:lang w:val="fr-FR"/>
        </w:rPr>
        <w:t xml:space="preserve"> droit (</w:t>
      </w:r>
      <w:r w:rsidR="00526459" w:rsidRPr="005451A6">
        <w:rPr>
          <w:i/>
          <w:lang w:val="fr-FR"/>
        </w:rPr>
        <w:t>q</w:t>
      </w:r>
      <w:r w:rsidRPr="005451A6">
        <w:rPr>
          <w:i/>
          <w:lang w:val="fr-FR"/>
        </w:rPr>
        <w:t>uesito di diritto</w:t>
      </w:r>
      <w:r w:rsidRPr="005451A6">
        <w:rPr>
          <w:lang w:val="fr-FR"/>
        </w:rPr>
        <w:t>).</w:t>
      </w:r>
    </w:p>
    <w:p w:rsidR="000C6143"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17</w:t>
      </w:r>
      <w:r w:rsidRPr="005451A6">
        <w:rPr>
          <w:lang w:val="fr-FR"/>
        </w:rPr>
        <w:fldChar w:fldCharType="end"/>
      </w:r>
      <w:r w:rsidRPr="005451A6">
        <w:rPr>
          <w:lang w:val="fr-FR"/>
        </w:rPr>
        <w:t xml:space="preserve">.  Le 20 avril 2011, le requérant introduisit une demande en révision devant la Cour de cassation, </w:t>
      </w:r>
      <w:r w:rsidR="00C229F5" w:rsidRPr="005451A6">
        <w:rPr>
          <w:lang w:val="fr-FR"/>
        </w:rPr>
        <w:t>déclarée</w:t>
      </w:r>
      <w:r w:rsidRPr="005451A6">
        <w:rPr>
          <w:lang w:val="fr-FR"/>
        </w:rPr>
        <w:t xml:space="preserve"> irrecevable le 22 décembre 2011.</w:t>
      </w:r>
    </w:p>
    <w:p w:rsidR="000C6143" w:rsidRPr="005451A6" w:rsidRDefault="00E76E51" w:rsidP="005451A6">
      <w:pPr>
        <w:pStyle w:val="ECHRHeading3"/>
        <w:rPr>
          <w:lang w:val="fr-FR"/>
        </w:rPr>
      </w:pPr>
      <w:r w:rsidRPr="005451A6">
        <w:rPr>
          <w:lang w:val="fr-FR"/>
        </w:rPr>
        <w:t>3</w:t>
      </w:r>
      <w:r w:rsidR="00CA3D1A" w:rsidRPr="005451A6">
        <w:rPr>
          <w:lang w:val="fr-FR"/>
        </w:rPr>
        <w:t>.</w:t>
      </w:r>
      <w:r w:rsidR="00A07368" w:rsidRPr="005451A6">
        <w:rPr>
          <w:lang w:val="fr-FR"/>
        </w:rPr>
        <w:t>  </w:t>
      </w:r>
      <w:r w:rsidR="000C6143" w:rsidRPr="005451A6">
        <w:rPr>
          <w:lang w:val="fr-FR"/>
        </w:rPr>
        <w:t>Sur l</w:t>
      </w:r>
      <w:r w:rsidR="005451A6" w:rsidRPr="005451A6">
        <w:rPr>
          <w:lang w:val="fr-FR"/>
        </w:rPr>
        <w:t>’</w:t>
      </w:r>
      <w:r w:rsidR="000C6143" w:rsidRPr="005451A6">
        <w:rPr>
          <w:lang w:val="fr-FR"/>
        </w:rPr>
        <w:t>action en responsabilité contre la présidence du Conseil des ministres</w:t>
      </w:r>
    </w:p>
    <w:p w:rsidR="000C6143"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18</w:t>
      </w:r>
      <w:r w:rsidRPr="005451A6">
        <w:rPr>
          <w:lang w:val="fr-FR"/>
        </w:rPr>
        <w:fldChar w:fldCharType="end"/>
      </w:r>
      <w:r w:rsidRPr="005451A6">
        <w:rPr>
          <w:lang w:val="fr-FR"/>
        </w:rPr>
        <w:t>.  Le 29 août 2013, sur le fondement de l</w:t>
      </w:r>
      <w:r w:rsidR="005451A6" w:rsidRPr="005451A6">
        <w:rPr>
          <w:lang w:val="fr-FR"/>
        </w:rPr>
        <w:t>’</w:t>
      </w:r>
      <w:r w:rsidRPr="005451A6">
        <w:rPr>
          <w:lang w:val="fr-FR"/>
        </w:rPr>
        <w:t>article 2 de la loi n</w:t>
      </w:r>
      <w:r w:rsidR="003C628F" w:rsidRPr="005451A6">
        <w:rPr>
          <w:vertAlign w:val="superscript"/>
          <w:lang w:val="fr-FR"/>
        </w:rPr>
        <w:t>o</w:t>
      </w:r>
      <w:r w:rsidR="000A4EF5" w:rsidRPr="005451A6">
        <w:rPr>
          <w:vertAlign w:val="superscript"/>
          <w:lang w:val="fr-FR"/>
        </w:rPr>
        <w:t> </w:t>
      </w:r>
      <w:r w:rsidRPr="005451A6">
        <w:rPr>
          <w:lang w:val="fr-FR"/>
        </w:rPr>
        <w:t>117/1988 relative à la responsabilité civile des magistrats dans l</w:t>
      </w:r>
      <w:r w:rsidR="005451A6" w:rsidRPr="005451A6">
        <w:rPr>
          <w:lang w:val="fr-FR"/>
        </w:rPr>
        <w:t>’</w:t>
      </w:r>
      <w:r w:rsidRPr="005451A6">
        <w:rPr>
          <w:lang w:val="fr-FR"/>
        </w:rPr>
        <w:t xml:space="preserve">exercice de leurs fonctions, le requérant présenta une action en responsabilité contre la </w:t>
      </w:r>
      <w:r w:rsidRPr="005451A6">
        <w:rPr>
          <w:lang w:val="fr-FR"/>
        </w:rPr>
        <w:lastRenderedPageBreak/>
        <w:t xml:space="preserve">présidence du Conseil des ministres devant le tribunal de Milan. </w:t>
      </w:r>
      <w:r w:rsidR="007B6670" w:rsidRPr="005451A6">
        <w:rPr>
          <w:lang w:val="fr-FR"/>
        </w:rPr>
        <w:t xml:space="preserve">Le recours </w:t>
      </w:r>
      <w:r w:rsidR="00DE08FC" w:rsidRPr="005451A6">
        <w:rPr>
          <w:lang w:val="fr-FR"/>
        </w:rPr>
        <w:t>a été</w:t>
      </w:r>
      <w:r w:rsidR="007B6670" w:rsidRPr="005451A6">
        <w:rPr>
          <w:lang w:val="fr-FR"/>
        </w:rPr>
        <w:t xml:space="preserve"> déclaré </w:t>
      </w:r>
      <w:r w:rsidR="005D2C52" w:rsidRPr="005451A6">
        <w:rPr>
          <w:lang w:val="fr-FR"/>
        </w:rPr>
        <w:t>irrecevable le 22 janvier 2015</w:t>
      </w:r>
      <w:r w:rsidRPr="005451A6">
        <w:rPr>
          <w:lang w:val="fr-FR"/>
        </w:rPr>
        <w:t>.</w:t>
      </w:r>
    </w:p>
    <w:p w:rsidR="00E77CB3" w:rsidRPr="005451A6" w:rsidRDefault="00E77CB3" w:rsidP="005451A6">
      <w:pPr>
        <w:pStyle w:val="ECHRHeading1"/>
        <w:keepNext w:val="0"/>
        <w:keepLines w:val="0"/>
        <w:rPr>
          <w:lang w:val="fr-FR"/>
        </w:rPr>
      </w:pPr>
      <w:r w:rsidRPr="005451A6">
        <w:rPr>
          <w:lang w:val="fr-FR"/>
        </w:rPr>
        <w:t>II.  LE DROIT ET LA PRATIQUE INTERNES PERTINENTS</w:t>
      </w:r>
    </w:p>
    <w:p w:rsidR="000C6143" w:rsidRPr="005451A6" w:rsidRDefault="00C229F5" w:rsidP="005451A6">
      <w:pPr>
        <w:pStyle w:val="ECHRPara"/>
        <w:rPr>
          <w:rFonts w:ascii="Times New Roman" w:hAnsi="Times New Roman" w:cs="Times New Roman"/>
          <w:color w:val="000000"/>
          <w:lang w:val="fr-FR"/>
        </w:rPr>
      </w:pPr>
      <w:r w:rsidRPr="005451A6">
        <w:rPr>
          <w:rFonts w:ascii="Times New Roman" w:hAnsi="Times New Roman" w:cs="Times New Roman"/>
          <w:color w:val="000000"/>
          <w:lang w:val="fr-FR"/>
        </w:rPr>
        <w:fldChar w:fldCharType="begin"/>
      </w:r>
      <w:r w:rsidRPr="005451A6">
        <w:rPr>
          <w:rFonts w:ascii="Times New Roman" w:hAnsi="Times New Roman" w:cs="Times New Roman"/>
          <w:color w:val="000000"/>
          <w:lang w:val="fr-FR"/>
        </w:rPr>
        <w:instrText xml:space="preserve"> SEQ level0 \*arabic </w:instrText>
      </w:r>
      <w:r w:rsidRPr="005451A6">
        <w:rPr>
          <w:rFonts w:ascii="Times New Roman" w:hAnsi="Times New Roman" w:cs="Times New Roman"/>
          <w:color w:val="000000"/>
          <w:lang w:val="fr-FR"/>
        </w:rPr>
        <w:fldChar w:fldCharType="separate"/>
      </w:r>
      <w:r w:rsidR="005451A6" w:rsidRPr="005451A6">
        <w:rPr>
          <w:rFonts w:ascii="Times New Roman" w:hAnsi="Times New Roman" w:cs="Times New Roman"/>
          <w:noProof/>
          <w:color w:val="000000"/>
          <w:lang w:val="fr-FR"/>
        </w:rPr>
        <w:t>19</w:t>
      </w:r>
      <w:r w:rsidRPr="005451A6">
        <w:rPr>
          <w:rFonts w:ascii="Times New Roman" w:hAnsi="Times New Roman" w:cs="Times New Roman"/>
          <w:color w:val="000000"/>
          <w:lang w:val="fr-FR"/>
        </w:rPr>
        <w:fldChar w:fldCharType="end"/>
      </w:r>
      <w:r w:rsidRPr="005451A6">
        <w:rPr>
          <w:rFonts w:ascii="Times New Roman" w:hAnsi="Times New Roman" w:cs="Times New Roman"/>
          <w:color w:val="000000"/>
          <w:lang w:val="fr-FR"/>
        </w:rPr>
        <w:t>.  </w:t>
      </w:r>
      <w:r w:rsidR="000C6143" w:rsidRPr="005451A6">
        <w:rPr>
          <w:rFonts w:ascii="Times New Roman" w:hAnsi="Times New Roman" w:cs="Times New Roman"/>
          <w:color w:val="000000"/>
          <w:lang w:val="fr-FR"/>
        </w:rPr>
        <w:t>La procédure devant la Cour de cassation est réglée par les articles du Titre III</w:t>
      </w:r>
      <w:r w:rsidR="000C6143" w:rsidRPr="005451A6">
        <w:rPr>
          <w:rFonts w:ascii="Times New Roman" w:hAnsi="Times New Roman" w:cs="Times New Roman"/>
          <w:i/>
          <w:color w:val="000000"/>
          <w:lang w:val="fr-FR"/>
        </w:rPr>
        <w:t>,</w:t>
      </w:r>
      <w:r w:rsidR="000C6143" w:rsidRPr="005451A6">
        <w:rPr>
          <w:rFonts w:ascii="Times New Roman" w:hAnsi="Times New Roman" w:cs="Times New Roman"/>
          <w:color w:val="000000"/>
          <w:lang w:val="fr-FR"/>
        </w:rPr>
        <w:t xml:space="preserve"> chefs I et III, du code de procédure civile (CPC). L</w:t>
      </w:r>
      <w:r w:rsidR="005451A6" w:rsidRPr="005451A6">
        <w:rPr>
          <w:rFonts w:ascii="Times New Roman" w:hAnsi="Times New Roman" w:cs="Times New Roman"/>
          <w:color w:val="000000"/>
          <w:lang w:val="fr-FR"/>
        </w:rPr>
        <w:t>’</w:t>
      </w:r>
      <w:r w:rsidR="000A4EF5" w:rsidRPr="005451A6">
        <w:rPr>
          <w:rFonts w:ascii="Times New Roman" w:hAnsi="Times New Roman" w:cs="Times New Roman"/>
          <w:color w:val="000000"/>
          <w:lang w:val="fr-FR"/>
        </w:rPr>
        <w:t>article </w:t>
      </w:r>
      <w:r w:rsidR="000C6143" w:rsidRPr="005451A6">
        <w:rPr>
          <w:rFonts w:ascii="Times New Roman" w:hAnsi="Times New Roman" w:cs="Times New Roman"/>
          <w:color w:val="000000"/>
          <w:lang w:val="fr-FR"/>
        </w:rPr>
        <w:t>360 CPC prévoit les cas où un pourvoi peut être formé contre une décision prononcée en appel (ou, dans des cas exceptionnels, prononcée en première instance) pour application incorrecte de règles de droit. La version de l</w:t>
      </w:r>
      <w:r w:rsidR="005451A6" w:rsidRPr="005451A6">
        <w:rPr>
          <w:rFonts w:ascii="Times New Roman" w:hAnsi="Times New Roman" w:cs="Times New Roman"/>
          <w:color w:val="000000"/>
          <w:lang w:val="fr-FR"/>
        </w:rPr>
        <w:t>’</w:t>
      </w:r>
      <w:r w:rsidR="000C6143" w:rsidRPr="005451A6">
        <w:rPr>
          <w:rFonts w:ascii="Times New Roman" w:hAnsi="Times New Roman" w:cs="Times New Roman"/>
          <w:color w:val="000000"/>
          <w:lang w:val="fr-FR"/>
        </w:rPr>
        <w:t>article applicable</w:t>
      </w:r>
      <w:r w:rsidR="009903E6" w:rsidRPr="005451A6">
        <w:rPr>
          <w:rFonts w:ascii="Times New Roman" w:hAnsi="Times New Roman" w:cs="Times New Roman"/>
          <w:color w:val="000000"/>
          <w:lang w:val="fr-FR"/>
        </w:rPr>
        <w:t xml:space="preserve"> </w:t>
      </w:r>
      <w:r w:rsidR="00544816" w:rsidRPr="005451A6">
        <w:rPr>
          <w:rFonts w:ascii="Times New Roman" w:hAnsi="Times New Roman" w:cs="Times New Roman"/>
          <w:color w:val="000000"/>
          <w:lang w:val="fr-FR"/>
        </w:rPr>
        <w:t>au moment des faits</w:t>
      </w:r>
      <w:r w:rsidR="000C6143" w:rsidRPr="005451A6">
        <w:rPr>
          <w:rFonts w:ascii="Times New Roman" w:hAnsi="Times New Roman" w:cs="Times New Roman"/>
          <w:color w:val="000000"/>
          <w:lang w:val="fr-FR"/>
        </w:rPr>
        <w:t xml:space="preserve"> était ainsi libellée :</w:t>
      </w:r>
    </w:p>
    <w:p w:rsidR="000C6143" w:rsidRPr="005451A6" w:rsidRDefault="00C229F5" w:rsidP="005451A6">
      <w:pPr>
        <w:pStyle w:val="ECHRParaQuote"/>
        <w:rPr>
          <w:lang w:val="fr-FR"/>
        </w:rPr>
      </w:pPr>
      <w:r w:rsidRPr="005451A6">
        <w:rPr>
          <w:lang w:val="fr-FR"/>
        </w:rPr>
        <w:t>« </w:t>
      </w:r>
      <w:r w:rsidR="000C6143" w:rsidRPr="005451A6">
        <w:rPr>
          <w:lang w:val="fr-FR"/>
        </w:rPr>
        <w:t>Art. 360 (Décisions susceptibles de pourvoi et motifs de recours) Les arrêts prononcés en appel ou en première instance peuvent être contestés par le biais d</w:t>
      </w:r>
      <w:r w:rsidR="005451A6" w:rsidRPr="005451A6">
        <w:rPr>
          <w:lang w:val="fr-FR"/>
        </w:rPr>
        <w:t>’</w:t>
      </w:r>
      <w:r w:rsidR="000C6143" w:rsidRPr="005451A6">
        <w:rPr>
          <w:lang w:val="fr-FR"/>
        </w:rPr>
        <w:t>un pourvoi en cassation :</w:t>
      </w:r>
    </w:p>
    <w:p w:rsidR="000C6143" w:rsidRPr="005451A6" w:rsidRDefault="000C6143" w:rsidP="005451A6">
      <w:pPr>
        <w:pStyle w:val="ECHRParaQuote"/>
        <w:rPr>
          <w:lang w:val="fr-FR"/>
        </w:rPr>
      </w:pPr>
      <w:r w:rsidRPr="005451A6">
        <w:rPr>
          <w:lang w:val="fr-FR"/>
        </w:rPr>
        <w:t>1)   pour des motifs relatifs à la juridiction ;</w:t>
      </w:r>
    </w:p>
    <w:p w:rsidR="000C6143" w:rsidRPr="005451A6" w:rsidRDefault="000C6143" w:rsidP="005451A6">
      <w:pPr>
        <w:pStyle w:val="ECHRParaQuote"/>
        <w:rPr>
          <w:lang w:val="fr-FR"/>
        </w:rPr>
      </w:pPr>
      <w:r w:rsidRPr="005451A6">
        <w:rPr>
          <w:lang w:val="fr-FR"/>
        </w:rPr>
        <w:t>2)   pour des violations des normes sur la compétence, lorsque le règlement de compétence n</w:t>
      </w:r>
      <w:r w:rsidR="005451A6" w:rsidRPr="005451A6">
        <w:rPr>
          <w:lang w:val="fr-FR"/>
        </w:rPr>
        <w:t>’</w:t>
      </w:r>
      <w:r w:rsidRPr="005451A6">
        <w:rPr>
          <w:lang w:val="fr-FR"/>
        </w:rPr>
        <w:t>est pas prescrit ;</w:t>
      </w:r>
    </w:p>
    <w:p w:rsidR="000C6143" w:rsidRPr="005451A6" w:rsidRDefault="000C6143" w:rsidP="005451A6">
      <w:pPr>
        <w:pStyle w:val="ECHRParaQuote"/>
        <w:rPr>
          <w:lang w:val="fr-FR"/>
        </w:rPr>
      </w:pPr>
      <w:r w:rsidRPr="005451A6">
        <w:rPr>
          <w:lang w:val="fr-FR"/>
        </w:rPr>
        <w:t>3)   pour des violations ou des mauvaises applications de normes de droit et de contrats ou accords collectifs nationaux de travail ;</w:t>
      </w:r>
    </w:p>
    <w:p w:rsidR="000C6143" w:rsidRPr="005451A6" w:rsidRDefault="000C6143" w:rsidP="005451A6">
      <w:pPr>
        <w:pStyle w:val="ECHRParaQuote"/>
        <w:rPr>
          <w:lang w:val="fr-FR"/>
        </w:rPr>
      </w:pPr>
      <w:r w:rsidRPr="005451A6">
        <w:rPr>
          <w:lang w:val="fr-FR"/>
        </w:rPr>
        <w:t>4)   pour nullité de l</w:t>
      </w:r>
      <w:r w:rsidR="005451A6" w:rsidRPr="005451A6">
        <w:rPr>
          <w:lang w:val="fr-FR"/>
        </w:rPr>
        <w:t>’</w:t>
      </w:r>
      <w:r w:rsidRPr="005451A6">
        <w:rPr>
          <w:lang w:val="fr-FR"/>
        </w:rPr>
        <w:t>arrêt ou de la procédure ;</w:t>
      </w:r>
    </w:p>
    <w:p w:rsidR="000C6143" w:rsidRPr="005451A6" w:rsidRDefault="000C6143" w:rsidP="005451A6">
      <w:pPr>
        <w:pStyle w:val="ECHRParaQuote"/>
        <w:rPr>
          <w:lang w:val="fr-FR"/>
        </w:rPr>
      </w:pPr>
      <w:r w:rsidRPr="005451A6">
        <w:rPr>
          <w:lang w:val="fr-FR"/>
        </w:rPr>
        <w:t>5)   pour un défaut de motivation ou une motivation insuffisante ou contradictoire sur un fait conte</w:t>
      </w:r>
      <w:r w:rsidR="001406C3" w:rsidRPr="005451A6">
        <w:rPr>
          <w:lang w:val="fr-FR"/>
        </w:rPr>
        <w:t>sté et décisif pour le jugement</w:t>
      </w:r>
      <w:r w:rsidRPr="005451A6">
        <w:rPr>
          <w:lang w:val="fr-FR"/>
        </w:rPr>
        <w:t> (</w:t>
      </w:r>
      <w:r w:rsidR="003C628F" w:rsidRPr="005451A6">
        <w:rPr>
          <w:lang w:val="fr-FR"/>
        </w:rPr>
        <w:t>...</w:t>
      </w:r>
      <w:r w:rsidR="00CA3D1A" w:rsidRPr="005451A6">
        <w:rPr>
          <w:lang w:val="fr-FR"/>
        </w:rPr>
        <w:t>) »</w:t>
      </w:r>
    </w:p>
    <w:p w:rsidR="000C6143" w:rsidRPr="005451A6" w:rsidRDefault="000C614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20</w:t>
      </w:r>
      <w:r w:rsidRPr="005451A6">
        <w:rPr>
          <w:lang w:val="fr-FR"/>
        </w:rPr>
        <w:fldChar w:fldCharType="end"/>
      </w:r>
      <w:r w:rsidRPr="005451A6">
        <w:rPr>
          <w:lang w:val="fr-FR"/>
        </w:rPr>
        <w:t>.  L</w:t>
      </w:r>
      <w:r w:rsidR="00FE79FE" w:rsidRPr="005451A6">
        <w:rPr>
          <w:lang w:val="fr-FR"/>
        </w:rPr>
        <w:t>e</w:t>
      </w:r>
      <w:r w:rsidRPr="005451A6">
        <w:rPr>
          <w:lang w:val="fr-FR"/>
        </w:rPr>
        <w:t xml:space="preserve"> décret législatif n</w:t>
      </w:r>
      <w:r w:rsidR="003C628F" w:rsidRPr="005451A6">
        <w:rPr>
          <w:vertAlign w:val="superscript"/>
          <w:lang w:val="fr-FR"/>
        </w:rPr>
        <w:t>o</w:t>
      </w:r>
      <w:r w:rsidRPr="005451A6">
        <w:rPr>
          <w:lang w:val="fr-FR"/>
        </w:rPr>
        <w:t xml:space="preserve"> 40 du 2 février 2006 a introduit l</w:t>
      </w:r>
      <w:r w:rsidR="005451A6" w:rsidRPr="005451A6">
        <w:rPr>
          <w:lang w:val="fr-FR"/>
        </w:rPr>
        <w:t>’</w:t>
      </w:r>
      <w:r w:rsidR="000A4EF5" w:rsidRPr="005451A6">
        <w:rPr>
          <w:lang w:val="fr-FR"/>
        </w:rPr>
        <w:t>article </w:t>
      </w:r>
      <w:r w:rsidRPr="005451A6">
        <w:rPr>
          <w:lang w:val="fr-FR"/>
        </w:rPr>
        <w:t>366</w:t>
      </w:r>
      <w:r w:rsidRPr="005451A6">
        <w:rPr>
          <w:i/>
          <w:lang w:val="fr-FR"/>
        </w:rPr>
        <w:t>bis</w:t>
      </w:r>
      <w:r w:rsidRPr="005451A6">
        <w:rPr>
          <w:lang w:val="fr-FR"/>
        </w:rPr>
        <w:t xml:space="preserve"> CPC relatif aux conditions de forme d</w:t>
      </w:r>
      <w:r w:rsidR="005451A6" w:rsidRPr="005451A6">
        <w:rPr>
          <w:lang w:val="fr-FR"/>
        </w:rPr>
        <w:t>’</w:t>
      </w:r>
      <w:r w:rsidRPr="005451A6">
        <w:rPr>
          <w:lang w:val="fr-FR"/>
        </w:rPr>
        <w:t>un pourvoi en cassation. Il était libellé ainsi :</w:t>
      </w:r>
    </w:p>
    <w:p w:rsidR="000C6143" w:rsidRPr="005451A6" w:rsidRDefault="00C229F5" w:rsidP="005451A6">
      <w:pPr>
        <w:pStyle w:val="ECHRParaQuote"/>
        <w:rPr>
          <w:lang w:val="fr-FR"/>
        </w:rPr>
      </w:pPr>
      <w:r w:rsidRPr="005451A6">
        <w:rPr>
          <w:iCs/>
          <w:lang w:val="fr-FR"/>
        </w:rPr>
        <w:t>« </w:t>
      </w:r>
      <w:r w:rsidR="00A53B97" w:rsidRPr="005451A6">
        <w:rPr>
          <w:iCs/>
          <w:lang w:val="fr-FR"/>
        </w:rPr>
        <w:t>Art. 366</w:t>
      </w:r>
      <w:r w:rsidR="000C6143" w:rsidRPr="005451A6">
        <w:rPr>
          <w:i/>
          <w:iCs/>
          <w:lang w:val="fr-FR"/>
        </w:rPr>
        <w:t>bis</w:t>
      </w:r>
      <w:r w:rsidR="000C6143" w:rsidRPr="005451A6">
        <w:rPr>
          <w:lang w:val="fr-FR"/>
        </w:rPr>
        <w:t xml:space="preserve"> (Formulation des moyens de droit). – Dans les cas prévus à l</w:t>
      </w:r>
      <w:r w:rsidR="005451A6" w:rsidRPr="005451A6">
        <w:rPr>
          <w:lang w:val="fr-FR"/>
        </w:rPr>
        <w:t>’</w:t>
      </w:r>
      <w:r w:rsidR="000C6143" w:rsidRPr="005451A6">
        <w:rPr>
          <w:lang w:val="fr-FR"/>
        </w:rPr>
        <w:t>article</w:t>
      </w:r>
      <w:r w:rsidR="000A4EF5" w:rsidRPr="005451A6">
        <w:rPr>
          <w:lang w:val="fr-FR"/>
        </w:rPr>
        <w:t> </w:t>
      </w:r>
      <w:r w:rsidR="000C6143" w:rsidRPr="005451A6">
        <w:rPr>
          <w:lang w:val="fr-FR"/>
        </w:rPr>
        <w:t>360, 1</w:t>
      </w:r>
      <w:r w:rsidR="000C6143" w:rsidRPr="005451A6">
        <w:rPr>
          <w:vertAlign w:val="superscript"/>
          <w:lang w:val="fr-FR"/>
        </w:rPr>
        <w:t>er</w:t>
      </w:r>
      <w:r w:rsidR="000C6143" w:rsidRPr="005451A6">
        <w:rPr>
          <w:lang w:val="fr-FR"/>
        </w:rPr>
        <w:t xml:space="preserve"> alinéa, numéros 1)</w:t>
      </w:r>
      <w:r w:rsidRPr="005451A6">
        <w:rPr>
          <w:lang w:val="fr-FR"/>
        </w:rPr>
        <w:t xml:space="preserve"> -</w:t>
      </w:r>
      <w:r w:rsidR="000C6143" w:rsidRPr="005451A6">
        <w:rPr>
          <w:lang w:val="fr-FR"/>
        </w:rPr>
        <w:t xml:space="preserve"> 4), l</w:t>
      </w:r>
      <w:r w:rsidR="005451A6" w:rsidRPr="005451A6">
        <w:rPr>
          <w:lang w:val="fr-FR"/>
        </w:rPr>
        <w:t>’</w:t>
      </w:r>
      <w:r w:rsidR="000C6143" w:rsidRPr="005451A6">
        <w:rPr>
          <w:lang w:val="fr-FR"/>
        </w:rPr>
        <w:t>indication de chaque moyen doit se conclure, sous peine d</w:t>
      </w:r>
      <w:r w:rsidR="005451A6" w:rsidRPr="005451A6">
        <w:rPr>
          <w:lang w:val="fr-FR"/>
        </w:rPr>
        <w:t>’</w:t>
      </w:r>
      <w:r w:rsidR="000C6143" w:rsidRPr="005451A6">
        <w:rPr>
          <w:lang w:val="fr-FR"/>
        </w:rPr>
        <w:t>irrecevabilité, avec la formulation de la question en droit. Dans le cas prévu à l</w:t>
      </w:r>
      <w:r w:rsidR="005451A6" w:rsidRPr="005451A6">
        <w:rPr>
          <w:lang w:val="fr-FR"/>
        </w:rPr>
        <w:t>’</w:t>
      </w:r>
      <w:r w:rsidR="000C6143" w:rsidRPr="005451A6">
        <w:rPr>
          <w:lang w:val="fr-FR"/>
        </w:rPr>
        <w:t>article 360, 1</w:t>
      </w:r>
      <w:r w:rsidR="000C6143" w:rsidRPr="005451A6">
        <w:rPr>
          <w:vertAlign w:val="superscript"/>
          <w:lang w:val="fr-FR"/>
        </w:rPr>
        <w:t>er</w:t>
      </w:r>
      <w:r w:rsidR="000C6143" w:rsidRPr="005451A6">
        <w:rPr>
          <w:lang w:val="fr-FR"/>
        </w:rPr>
        <w:t xml:space="preserve"> alinéa, numéro 5), la formulation de chaque moyen doit contenir, sous peine d</w:t>
      </w:r>
      <w:r w:rsidR="005451A6" w:rsidRPr="005451A6">
        <w:rPr>
          <w:lang w:val="fr-FR"/>
        </w:rPr>
        <w:t>’</w:t>
      </w:r>
      <w:r w:rsidR="000C6143" w:rsidRPr="005451A6">
        <w:rPr>
          <w:lang w:val="fr-FR"/>
        </w:rPr>
        <w:t>irrecevabilité, l</w:t>
      </w:r>
      <w:r w:rsidR="005451A6" w:rsidRPr="005451A6">
        <w:rPr>
          <w:lang w:val="fr-FR"/>
        </w:rPr>
        <w:t>’</w:t>
      </w:r>
      <w:r w:rsidR="000C6143" w:rsidRPr="005451A6">
        <w:rPr>
          <w:lang w:val="fr-FR"/>
        </w:rPr>
        <w:t>indication claire du fait contesté à propos duquel la motivation est critiquée comme étant défaillante ou contradictoire, ou les raisons pour lesquelles la motivation insuffisante n</w:t>
      </w:r>
      <w:r w:rsidR="005451A6" w:rsidRPr="005451A6">
        <w:rPr>
          <w:lang w:val="fr-FR"/>
        </w:rPr>
        <w:t>’</w:t>
      </w:r>
      <w:r w:rsidR="000C6143" w:rsidRPr="005451A6">
        <w:rPr>
          <w:lang w:val="fr-FR"/>
        </w:rPr>
        <w:t>est pas p</w:t>
      </w:r>
      <w:r w:rsidR="00CA3D1A" w:rsidRPr="005451A6">
        <w:rPr>
          <w:lang w:val="fr-FR"/>
        </w:rPr>
        <w:t>ropre à justifier la décision. »</w:t>
      </w:r>
    </w:p>
    <w:p w:rsidR="003C628F" w:rsidRPr="005451A6" w:rsidRDefault="00F543BE" w:rsidP="005451A6">
      <w:pPr>
        <w:pStyle w:val="ECHRPara"/>
        <w:keepNext/>
        <w:keepLines/>
        <w:rPr>
          <w:rFonts w:eastAsia="Calibri" w:cstheme="minorHAnsi"/>
          <w:snapToGrid w:val="0"/>
          <w:szCs w:val="24"/>
          <w:lang w:val="fr-FR" w:eastAsia="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21</w:t>
      </w:r>
      <w:r w:rsidRPr="005451A6">
        <w:rPr>
          <w:lang w:val="fr-FR"/>
        </w:rPr>
        <w:fldChar w:fldCharType="end"/>
      </w:r>
      <w:r w:rsidRPr="005451A6">
        <w:rPr>
          <w:lang w:val="fr-FR"/>
        </w:rPr>
        <w:t>.  </w:t>
      </w:r>
      <w:r w:rsidR="000C6143" w:rsidRPr="005451A6">
        <w:rPr>
          <w:lang w:val="fr-FR"/>
        </w:rPr>
        <w:t>Suite à l</w:t>
      </w:r>
      <w:r w:rsidR="005451A6" w:rsidRPr="005451A6">
        <w:rPr>
          <w:lang w:val="fr-FR"/>
        </w:rPr>
        <w:t>’</w:t>
      </w:r>
      <w:r w:rsidR="000C6143" w:rsidRPr="005451A6">
        <w:rPr>
          <w:lang w:val="fr-FR"/>
        </w:rPr>
        <w:t>introduction de l</w:t>
      </w:r>
      <w:r w:rsidR="005451A6" w:rsidRPr="005451A6">
        <w:rPr>
          <w:lang w:val="fr-FR"/>
        </w:rPr>
        <w:t>’</w:t>
      </w:r>
      <w:r w:rsidR="00A53B97" w:rsidRPr="005451A6">
        <w:rPr>
          <w:lang w:val="fr-FR"/>
        </w:rPr>
        <w:t>article 366</w:t>
      </w:r>
      <w:r w:rsidR="000C6143" w:rsidRPr="005451A6">
        <w:rPr>
          <w:i/>
          <w:lang w:val="fr-FR"/>
        </w:rPr>
        <w:t>bis</w:t>
      </w:r>
      <w:r w:rsidR="000C6143" w:rsidRPr="005451A6">
        <w:rPr>
          <w:lang w:val="fr-FR"/>
        </w:rPr>
        <w:t xml:space="preserve"> CPC, la jurisprudence de la Cour de cassation </w:t>
      </w:r>
      <w:r w:rsidR="000C6143" w:rsidRPr="005451A6">
        <w:rPr>
          <w:rFonts w:eastAsia="Calibri" w:cstheme="minorHAnsi"/>
          <w:snapToGrid w:val="0"/>
          <w:szCs w:val="24"/>
          <w:lang w:val="fr-FR" w:eastAsia="fr-FR"/>
        </w:rPr>
        <w:t>a fait l</w:t>
      </w:r>
      <w:r w:rsidR="005451A6" w:rsidRPr="005451A6">
        <w:rPr>
          <w:rFonts w:eastAsia="Calibri" w:cstheme="minorHAnsi"/>
          <w:snapToGrid w:val="0"/>
          <w:szCs w:val="24"/>
          <w:lang w:val="fr-FR" w:eastAsia="fr-FR"/>
        </w:rPr>
        <w:t>’</w:t>
      </w:r>
      <w:r w:rsidR="000C6143" w:rsidRPr="005451A6">
        <w:rPr>
          <w:rFonts w:eastAsia="Calibri" w:cstheme="minorHAnsi"/>
          <w:snapToGrid w:val="0"/>
          <w:szCs w:val="24"/>
          <w:lang w:val="fr-FR" w:eastAsia="fr-FR"/>
        </w:rPr>
        <w:t>objet d</w:t>
      </w:r>
      <w:r w:rsidR="005451A6" w:rsidRPr="005451A6">
        <w:rPr>
          <w:rFonts w:eastAsia="Calibri" w:cstheme="minorHAnsi"/>
          <w:snapToGrid w:val="0"/>
          <w:szCs w:val="24"/>
          <w:lang w:val="fr-FR" w:eastAsia="fr-FR"/>
        </w:rPr>
        <w:t>’</w:t>
      </w:r>
      <w:r w:rsidR="000C6143" w:rsidRPr="005451A6">
        <w:rPr>
          <w:rFonts w:eastAsia="Calibri" w:cstheme="minorHAnsi"/>
          <w:snapToGrid w:val="0"/>
          <w:szCs w:val="24"/>
          <w:lang w:val="fr-FR" w:eastAsia="fr-FR"/>
        </w:rPr>
        <w:t xml:space="preserve">une analyse approfondie de la part du </w:t>
      </w:r>
      <w:r w:rsidR="007A21EE" w:rsidRPr="005451A6">
        <w:rPr>
          <w:rFonts w:eastAsia="Calibri" w:cstheme="minorHAnsi"/>
          <w:snapToGrid w:val="0"/>
          <w:szCs w:val="24"/>
          <w:lang w:val="fr-FR" w:eastAsia="fr-FR"/>
        </w:rPr>
        <w:t>service de documentation, des études et du rapport</w:t>
      </w:r>
      <w:r w:rsidR="000C6143" w:rsidRPr="005451A6">
        <w:rPr>
          <w:rFonts w:eastAsia="Calibri" w:cstheme="minorHAnsi"/>
          <w:snapToGrid w:val="0"/>
          <w:szCs w:val="24"/>
          <w:lang w:val="fr-FR" w:eastAsia="fr-FR"/>
        </w:rPr>
        <w:t xml:space="preserve"> de la Cour de cassation (</w:t>
      </w:r>
      <w:r w:rsidR="000C6143" w:rsidRPr="005451A6">
        <w:rPr>
          <w:rFonts w:eastAsia="Calibri" w:cstheme="minorHAnsi"/>
          <w:i/>
          <w:snapToGrid w:val="0"/>
          <w:szCs w:val="24"/>
          <w:lang w:val="fr-FR" w:eastAsia="fr-FR"/>
        </w:rPr>
        <w:t>ufficio del massimario e del ruolo</w:t>
      </w:r>
      <w:r w:rsidR="000C6143" w:rsidRPr="005451A6">
        <w:rPr>
          <w:rFonts w:eastAsia="Calibri" w:cstheme="minorHAnsi"/>
          <w:snapToGrid w:val="0"/>
          <w:szCs w:val="24"/>
          <w:lang w:val="fr-FR" w:eastAsia="fr-FR"/>
        </w:rPr>
        <w:t>) qui a publié deux rapports (n</w:t>
      </w:r>
      <w:r w:rsidR="000C6143" w:rsidRPr="005451A6">
        <w:rPr>
          <w:rFonts w:eastAsia="Calibri" w:cstheme="minorHAnsi"/>
          <w:snapToGrid w:val="0"/>
          <w:szCs w:val="24"/>
          <w:vertAlign w:val="superscript"/>
          <w:lang w:val="fr-FR" w:eastAsia="fr-FR"/>
        </w:rPr>
        <w:t>os</w:t>
      </w:r>
      <w:r w:rsidR="000A4EF5" w:rsidRPr="005451A6">
        <w:rPr>
          <w:rFonts w:eastAsia="Calibri" w:cstheme="minorHAnsi"/>
          <w:snapToGrid w:val="0"/>
          <w:szCs w:val="24"/>
          <w:vertAlign w:val="superscript"/>
          <w:lang w:val="fr-FR" w:eastAsia="fr-FR"/>
        </w:rPr>
        <w:t> </w:t>
      </w:r>
      <w:r w:rsidR="000C6143" w:rsidRPr="005451A6">
        <w:rPr>
          <w:rFonts w:eastAsia="Calibri" w:cstheme="minorHAnsi"/>
          <w:snapToGrid w:val="0"/>
          <w:szCs w:val="24"/>
          <w:lang w:val="fr-FR" w:eastAsia="fr-FR"/>
        </w:rPr>
        <w:t>25 et 89 de 2008) portant sur les</w:t>
      </w:r>
      <w:r w:rsidR="000C6143" w:rsidRPr="005451A6">
        <w:rPr>
          <w:lang w:val="fr-FR"/>
        </w:rPr>
        <w:t xml:space="preserve"> </w:t>
      </w:r>
      <w:r w:rsidR="000C6143" w:rsidRPr="005451A6">
        <w:rPr>
          <w:rFonts w:eastAsia="Calibri" w:cstheme="minorHAnsi"/>
          <w:snapToGrid w:val="0"/>
          <w:szCs w:val="24"/>
          <w:lang w:val="fr-FR" w:eastAsia="fr-FR"/>
        </w:rPr>
        <w:t xml:space="preserve">modalités de présentation et de formulation de la question en droit, ainsi que sur sa place, </w:t>
      </w:r>
      <w:r w:rsidR="00E76E51" w:rsidRPr="005451A6">
        <w:rPr>
          <w:rFonts w:eastAsia="Calibri" w:cstheme="minorHAnsi"/>
          <w:snapToGrid w:val="0"/>
          <w:szCs w:val="24"/>
          <w:lang w:val="fr-FR" w:eastAsia="fr-FR"/>
        </w:rPr>
        <w:t xml:space="preserve">y compris sur le plan </w:t>
      </w:r>
      <w:r w:rsidR="000C6143" w:rsidRPr="005451A6">
        <w:rPr>
          <w:rFonts w:eastAsia="Calibri" w:cstheme="minorHAnsi"/>
          <w:snapToGrid w:val="0"/>
          <w:szCs w:val="24"/>
          <w:lang w:val="fr-FR" w:eastAsia="fr-FR"/>
        </w:rPr>
        <w:t>formel, au sein du mémoire.</w:t>
      </w:r>
    </w:p>
    <w:p w:rsidR="00DE08FC" w:rsidRPr="005451A6" w:rsidRDefault="00F543BE"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22</w:t>
      </w:r>
      <w:r w:rsidRPr="005451A6">
        <w:rPr>
          <w:lang w:val="fr-FR"/>
        </w:rPr>
        <w:fldChar w:fldCharType="end"/>
      </w:r>
      <w:r w:rsidRPr="005451A6">
        <w:rPr>
          <w:lang w:val="fr-FR"/>
        </w:rPr>
        <w:t>.  </w:t>
      </w:r>
      <w:r w:rsidR="000C6143" w:rsidRPr="005451A6">
        <w:rPr>
          <w:lang w:val="fr-FR"/>
        </w:rPr>
        <w:t>En particulier, dans l</w:t>
      </w:r>
      <w:r w:rsidR="005451A6" w:rsidRPr="005451A6">
        <w:rPr>
          <w:lang w:val="fr-FR"/>
        </w:rPr>
        <w:t>’</w:t>
      </w:r>
      <w:r w:rsidR="000C6143" w:rsidRPr="005451A6">
        <w:rPr>
          <w:lang w:val="fr-FR"/>
        </w:rPr>
        <w:t>arrêt n</w:t>
      </w:r>
      <w:r w:rsidR="003C628F" w:rsidRPr="005451A6">
        <w:rPr>
          <w:vertAlign w:val="superscript"/>
          <w:lang w:val="fr-FR"/>
        </w:rPr>
        <w:t>o</w:t>
      </w:r>
      <w:r w:rsidR="000C6143" w:rsidRPr="005451A6">
        <w:rPr>
          <w:lang w:val="fr-FR"/>
        </w:rPr>
        <w:t xml:space="preserve"> 7258 du 26 mars 2007, l</w:t>
      </w:r>
      <w:r w:rsidR="005451A6" w:rsidRPr="005451A6">
        <w:rPr>
          <w:lang w:val="fr-FR"/>
        </w:rPr>
        <w:t>’</w:t>
      </w:r>
      <w:r w:rsidR="000C6143" w:rsidRPr="005451A6">
        <w:rPr>
          <w:lang w:val="fr-FR"/>
        </w:rPr>
        <w:t>assemblée plénière</w:t>
      </w:r>
      <w:r w:rsidR="00E8112F" w:rsidRPr="005451A6">
        <w:rPr>
          <w:lang w:val="fr-FR"/>
        </w:rPr>
        <w:t xml:space="preserve"> (</w:t>
      </w:r>
      <w:r w:rsidR="00E8112F" w:rsidRPr="005451A6">
        <w:rPr>
          <w:i/>
          <w:lang w:val="fr-FR"/>
        </w:rPr>
        <w:t>Sezioni Unite</w:t>
      </w:r>
      <w:r w:rsidR="00E8112F" w:rsidRPr="005451A6">
        <w:rPr>
          <w:lang w:val="fr-FR"/>
        </w:rPr>
        <w:t>)</w:t>
      </w:r>
      <w:r w:rsidR="000C6143" w:rsidRPr="005451A6">
        <w:rPr>
          <w:lang w:val="fr-FR"/>
        </w:rPr>
        <w:t xml:space="preserve"> de la Cour de cassation a jugé qu</w:t>
      </w:r>
      <w:r w:rsidR="00DE08FC" w:rsidRPr="005451A6">
        <w:rPr>
          <w:lang w:val="fr-FR"/>
        </w:rPr>
        <w:t>e :</w:t>
      </w:r>
    </w:p>
    <w:p w:rsidR="000C6143" w:rsidRPr="005451A6" w:rsidRDefault="00C229F5" w:rsidP="005451A6">
      <w:pPr>
        <w:pStyle w:val="ECHRParaQuote"/>
        <w:rPr>
          <w:lang w:val="fr-FR"/>
        </w:rPr>
      </w:pPr>
      <w:r w:rsidRPr="005451A6">
        <w:rPr>
          <w:lang w:val="fr-FR"/>
        </w:rPr>
        <w:t>« (</w:t>
      </w:r>
      <w:r w:rsidR="0038278D" w:rsidRPr="005451A6">
        <w:rPr>
          <w:lang w:val="fr-FR"/>
        </w:rPr>
        <w:t>...</w:t>
      </w:r>
      <w:r w:rsidRPr="005451A6">
        <w:rPr>
          <w:lang w:val="fr-FR"/>
        </w:rPr>
        <w:t>)</w:t>
      </w:r>
      <w:r w:rsidR="000C6143" w:rsidRPr="005451A6">
        <w:rPr>
          <w:lang w:val="fr-FR"/>
        </w:rPr>
        <w:t xml:space="preserve"> </w:t>
      </w:r>
      <w:r w:rsidR="00C51396" w:rsidRPr="005451A6">
        <w:rPr>
          <w:lang w:val="fr-FR"/>
        </w:rPr>
        <w:t xml:space="preserve">il </w:t>
      </w:r>
      <w:r w:rsidR="000C6143" w:rsidRPr="005451A6">
        <w:rPr>
          <w:lang w:val="fr-FR"/>
        </w:rPr>
        <w:t>est irrecevable, pour violation de l</w:t>
      </w:r>
      <w:r w:rsidR="005451A6" w:rsidRPr="005451A6">
        <w:rPr>
          <w:lang w:val="fr-FR"/>
        </w:rPr>
        <w:t>’</w:t>
      </w:r>
      <w:r w:rsidR="00A53B97" w:rsidRPr="005451A6">
        <w:rPr>
          <w:lang w:val="fr-FR"/>
        </w:rPr>
        <w:t>article 366</w:t>
      </w:r>
      <w:r w:rsidR="000C6143" w:rsidRPr="005451A6">
        <w:rPr>
          <w:lang w:val="fr-FR"/>
        </w:rPr>
        <w:t>bis du code de procédure civil</w:t>
      </w:r>
      <w:r w:rsidRPr="005451A6">
        <w:rPr>
          <w:lang w:val="fr-FR"/>
        </w:rPr>
        <w:t>e</w:t>
      </w:r>
      <w:r w:rsidR="000C6143" w:rsidRPr="005451A6">
        <w:rPr>
          <w:lang w:val="fr-FR"/>
        </w:rPr>
        <w:t>, introduit par l</w:t>
      </w:r>
      <w:r w:rsidR="005451A6" w:rsidRPr="005451A6">
        <w:rPr>
          <w:lang w:val="fr-FR"/>
        </w:rPr>
        <w:t>’</w:t>
      </w:r>
      <w:r w:rsidR="000C6143" w:rsidRPr="005451A6">
        <w:rPr>
          <w:lang w:val="fr-FR"/>
        </w:rPr>
        <w:t>article 6 du décret législatif n</w:t>
      </w:r>
      <w:r w:rsidR="003C628F" w:rsidRPr="005451A6">
        <w:rPr>
          <w:vertAlign w:val="superscript"/>
          <w:lang w:val="fr-FR"/>
        </w:rPr>
        <w:t>o</w:t>
      </w:r>
      <w:r w:rsidR="000C6143" w:rsidRPr="005451A6">
        <w:rPr>
          <w:lang w:val="fr-FR"/>
        </w:rPr>
        <w:t xml:space="preserve"> 40 du 2006, le pourvoi en </w:t>
      </w:r>
      <w:r w:rsidR="000C6143" w:rsidRPr="005451A6">
        <w:rPr>
          <w:lang w:val="fr-FR"/>
        </w:rPr>
        <w:lastRenderedPageBreak/>
        <w:t>cassation dans lequel la présentation de chaque motif n</w:t>
      </w:r>
      <w:r w:rsidR="005451A6" w:rsidRPr="005451A6">
        <w:rPr>
          <w:lang w:val="fr-FR"/>
        </w:rPr>
        <w:t>’</w:t>
      </w:r>
      <w:r w:rsidR="000C6143" w:rsidRPr="005451A6">
        <w:rPr>
          <w:lang w:val="fr-FR"/>
        </w:rPr>
        <w:t>est pas suivi</w:t>
      </w:r>
      <w:r w:rsidRPr="005451A6">
        <w:rPr>
          <w:lang w:val="fr-FR"/>
        </w:rPr>
        <w:t>e</w:t>
      </w:r>
      <w:r w:rsidR="000C6143" w:rsidRPr="005451A6">
        <w:rPr>
          <w:lang w:val="fr-FR"/>
        </w:rPr>
        <w:t xml:space="preserve"> par la formulation d</w:t>
      </w:r>
      <w:r w:rsidR="005451A6" w:rsidRPr="005451A6">
        <w:rPr>
          <w:lang w:val="fr-FR"/>
        </w:rPr>
        <w:t>’</w:t>
      </w:r>
      <w:r w:rsidR="000C6143" w:rsidRPr="005451A6">
        <w:rPr>
          <w:lang w:val="fr-FR"/>
        </w:rPr>
        <w:t>une question en droit explicite, apte à circonscrire la décision du juge dans les limites d</w:t>
      </w:r>
      <w:r w:rsidR="005451A6" w:rsidRPr="005451A6">
        <w:rPr>
          <w:lang w:val="fr-FR"/>
        </w:rPr>
        <w:t>’</w:t>
      </w:r>
      <w:r w:rsidR="000C6143" w:rsidRPr="005451A6">
        <w:rPr>
          <w:lang w:val="fr-FR"/>
        </w:rPr>
        <w:t>une acceptation ou rejet de la qu</w:t>
      </w:r>
      <w:r w:rsidR="00CA3D1A" w:rsidRPr="005451A6">
        <w:rPr>
          <w:lang w:val="fr-FR"/>
        </w:rPr>
        <w:t>estion formulée par la partie. »</w:t>
      </w:r>
    </w:p>
    <w:p w:rsidR="00DE08FC" w:rsidRPr="005451A6" w:rsidRDefault="00F543BE"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23</w:t>
      </w:r>
      <w:r w:rsidRPr="005451A6">
        <w:rPr>
          <w:lang w:val="fr-FR"/>
        </w:rPr>
        <w:fldChar w:fldCharType="end"/>
      </w:r>
      <w:r w:rsidRPr="005451A6">
        <w:rPr>
          <w:lang w:val="fr-FR"/>
        </w:rPr>
        <w:t>.  </w:t>
      </w:r>
      <w:r w:rsidR="000C6143" w:rsidRPr="005451A6">
        <w:rPr>
          <w:lang w:val="fr-FR"/>
        </w:rPr>
        <w:t>Par la suite, la Cour de cassation, toujours en assemblée plénière</w:t>
      </w:r>
      <w:r w:rsidR="00E8112F" w:rsidRPr="005451A6">
        <w:rPr>
          <w:lang w:val="fr-FR"/>
        </w:rPr>
        <w:t xml:space="preserve"> (</w:t>
      </w:r>
      <w:r w:rsidR="00E8112F" w:rsidRPr="005451A6">
        <w:rPr>
          <w:i/>
          <w:lang w:val="fr-FR"/>
        </w:rPr>
        <w:t>Sezioni</w:t>
      </w:r>
      <w:r w:rsidR="00901DD6" w:rsidRPr="005451A6">
        <w:rPr>
          <w:i/>
          <w:lang w:val="fr-FR"/>
        </w:rPr>
        <w:t xml:space="preserve"> </w:t>
      </w:r>
      <w:r w:rsidR="00E8112F" w:rsidRPr="005451A6">
        <w:rPr>
          <w:i/>
          <w:lang w:val="fr-FR"/>
        </w:rPr>
        <w:t>Unite</w:t>
      </w:r>
      <w:r w:rsidR="00E8112F" w:rsidRPr="005451A6">
        <w:rPr>
          <w:lang w:val="fr-FR"/>
        </w:rPr>
        <w:t>)</w:t>
      </w:r>
      <w:r w:rsidR="000C6143" w:rsidRPr="005451A6">
        <w:rPr>
          <w:lang w:val="fr-FR"/>
        </w:rPr>
        <w:t>, a développé ce point dans l</w:t>
      </w:r>
      <w:r w:rsidR="005451A6" w:rsidRPr="005451A6">
        <w:rPr>
          <w:lang w:val="fr-FR"/>
        </w:rPr>
        <w:t>’</w:t>
      </w:r>
      <w:r w:rsidR="000C6143" w:rsidRPr="005451A6">
        <w:rPr>
          <w:lang w:val="fr-FR"/>
        </w:rPr>
        <w:t>arrêt n</w:t>
      </w:r>
      <w:r w:rsidR="003C628F" w:rsidRPr="005451A6">
        <w:rPr>
          <w:vertAlign w:val="superscript"/>
          <w:lang w:val="fr-FR"/>
        </w:rPr>
        <w:t>o</w:t>
      </w:r>
      <w:r w:rsidR="000C6143" w:rsidRPr="005451A6">
        <w:rPr>
          <w:lang w:val="fr-FR"/>
        </w:rPr>
        <w:t xml:space="preserve"> 3519 du 14</w:t>
      </w:r>
      <w:r w:rsidR="000A4EF5" w:rsidRPr="005451A6">
        <w:rPr>
          <w:lang w:val="fr-FR"/>
        </w:rPr>
        <w:t> </w:t>
      </w:r>
      <w:r w:rsidR="000C6143" w:rsidRPr="005451A6">
        <w:rPr>
          <w:lang w:val="fr-FR"/>
        </w:rPr>
        <w:t>février</w:t>
      </w:r>
      <w:r w:rsidR="00CA3D1A" w:rsidRPr="005451A6">
        <w:rPr>
          <w:lang w:val="fr-FR"/>
        </w:rPr>
        <w:t xml:space="preserve"> </w:t>
      </w:r>
      <w:r w:rsidR="000C6143" w:rsidRPr="005451A6">
        <w:rPr>
          <w:lang w:val="fr-FR"/>
        </w:rPr>
        <w:t>2008</w:t>
      </w:r>
      <w:r w:rsidR="00C229F5" w:rsidRPr="005451A6">
        <w:rPr>
          <w:lang w:val="fr-FR"/>
        </w:rPr>
        <w:t>.</w:t>
      </w:r>
      <w:r w:rsidR="000C6143" w:rsidRPr="005451A6">
        <w:rPr>
          <w:lang w:val="fr-FR"/>
        </w:rPr>
        <w:t xml:space="preserve"> Elle a notamment indiqué que</w:t>
      </w:r>
      <w:r w:rsidR="00DE08FC" w:rsidRPr="005451A6">
        <w:rPr>
          <w:lang w:val="fr-FR"/>
        </w:rPr>
        <w:t> :</w:t>
      </w:r>
    </w:p>
    <w:p w:rsidR="00E76E51" w:rsidRPr="005451A6" w:rsidRDefault="000C6143" w:rsidP="005451A6">
      <w:pPr>
        <w:pStyle w:val="ECHRParaQuote"/>
        <w:rPr>
          <w:lang w:val="fr-FR"/>
        </w:rPr>
      </w:pPr>
      <w:r w:rsidRPr="005451A6">
        <w:rPr>
          <w:lang w:val="fr-FR"/>
        </w:rPr>
        <w:t>« </w:t>
      </w:r>
      <w:r w:rsidR="00C229F5" w:rsidRPr="005451A6">
        <w:rPr>
          <w:lang w:val="fr-FR"/>
        </w:rPr>
        <w:t>(</w:t>
      </w:r>
      <w:r w:rsidR="0038278D" w:rsidRPr="005451A6">
        <w:rPr>
          <w:lang w:val="fr-FR"/>
        </w:rPr>
        <w:t>...</w:t>
      </w:r>
      <w:r w:rsidR="00C229F5" w:rsidRPr="005451A6">
        <w:rPr>
          <w:lang w:val="fr-FR"/>
        </w:rPr>
        <w:t xml:space="preserve">) </w:t>
      </w:r>
      <w:r w:rsidRPr="005451A6">
        <w:rPr>
          <w:lang w:val="fr-FR"/>
        </w:rPr>
        <w:t>la question (</w:t>
      </w:r>
      <w:r w:rsidR="003C628F" w:rsidRPr="005451A6">
        <w:rPr>
          <w:lang w:val="fr-FR"/>
        </w:rPr>
        <w:t>...</w:t>
      </w:r>
      <w:r w:rsidRPr="005451A6">
        <w:rPr>
          <w:lang w:val="fr-FR"/>
        </w:rPr>
        <w:t xml:space="preserve">) doit être la clé de lecture des raisons présentées et permettre à la Cour (de cassation) de répondre à celle-ci en fixant la </w:t>
      </w:r>
      <w:r w:rsidR="005451A6" w:rsidRPr="005451A6">
        <w:rPr>
          <w:lang w:val="fr-FR"/>
        </w:rPr>
        <w:t>‘</w:t>
      </w:r>
      <w:r w:rsidRPr="005451A6">
        <w:rPr>
          <w:i/>
          <w:lang w:val="fr-FR"/>
        </w:rPr>
        <w:t>regula iuris</w:t>
      </w:r>
      <w:r w:rsidR="005451A6" w:rsidRPr="005451A6">
        <w:rPr>
          <w:lang w:val="fr-FR"/>
        </w:rPr>
        <w:t>’</w:t>
      </w:r>
      <w:r w:rsidRPr="005451A6">
        <w:rPr>
          <w:lang w:val="fr-FR"/>
        </w:rPr>
        <w:t xml:space="preserve"> qui doit être en tant que telle susceptible de trouver application dans des cas similaires, au-delà de l</w:t>
      </w:r>
      <w:r w:rsidR="005451A6" w:rsidRPr="005451A6">
        <w:rPr>
          <w:lang w:val="fr-FR"/>
        </w:rPr>
        <w:t>’</w:t>
      </w:r>
      <w:r w:rsidRPr="005451A6">
        <w:rPr>
          <w:lang w:val="fr-FR"/>
        </w:rPr>
        <w:t>affaire litigieuse soumise à l</w:t>
      </w:r>
      <w:r w:rsidR="005451A6" w:rsidRPr="005451A6">
        <w:rPr>
          <w:lang w:val="fr-FR"/>
        </w:rPr>
        <w:t>’</w:t>
      </w:r>
      <w:r w:rsidRPr="005451A6">
        <w:rPr>
          <w:lang w:val="fr-FR"/>
        </w:rPr>
        <w:t>examen du juge qui a prononcé la décision contestée. Ceci signifie que la Cour (de cassation) doit pouvoir comprendre de la lecture de la seule question, considérée comme synthèse logico-juridique du moyen, l</w:t>
      </w:r>
      <w:r w:rsidR="005451A6" w:rsidRPr="005451A6">
        <w:rPr>
          <w:lang w:val="fr-FR"/>
        </w:rPr>
        <w:t>’</w:t>
      </w:r>
      <w:r w:rsidRPr="005451A6">
        <w:rPr>
          <w:lang w:val="fr-FR"/>
        </w:rPr>
        <w:t>erreur de droit que le juge du fond aurait commise et, selon la thèse du requérant, la règle à appliquer</w:t>
      </w:r>
      <w:r w:rsidR="00CA3D1A" w:rsidRPr="005451A6">
        <w:rPr>
          <w:lang w:val="fr-FR"/>
        </w:rPr>
        <w:t>.</w:t>
      </w:r>
      <w:r w:rsidRPr="005451A6">
        <w:rPr>
          <w:lang w:val="fr-FR"/>
        </w:rPr>
        <w:t> »</w:t>
      </w:r>
    </w:p>
    <w:p w:rsidR="00FE79FE" w:rsidRPr="005451A6" w:rsidRDefault="009903E6"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24</w:t>
      </w:r>
      <w:r w:rsidRPr="005451A6">
        <w:rPr>
          <w:lang w:val="fr-FR"/>
        </w:rPr>
        <w:fldChar w:fldCharType="end"/>
      </w:r>
      <w:r w:rsidRPr="005451A6">
        <w:rPr>
          <w:lang w:val="fr-FR"/>
        </w:rPr>
        <w:t>.  </w:t>
      </w:r>
      <w:r w:rsidR="00FE79FE" w:rsidRPr="005451A6">
        <w:rPr>
          <w:lang w:val="fr-FR"/>
        </w:rPr>
        <w:t>Le décret législatif n</w:t>
      </w:r>
      <w:r w:rsidR="0038278D" w:rsidRPr="005451A6">
        <w:rPr>
          <w:vertAlign w:val="superscript"/>
          <w:lang w:val="fr-FR"/>
        </w:rPr>
        <w:t>o</w:t>
      </w:r>
      <w:r w:rsidR="00FE79FE" w:rsidRPr="005451A6">
        <w:rPr>
          <w:lang w:val="fr-FR"/>
        </w:rPr>
        <w:t xml:space="preserve"> 40/2006, est entré en vigueur le 2</w:t>
      </w:r>
      <w:r w:rsidR="000A4EF5" w:rsidRPr="005451A6">
        <w:rPr>
          <w:lang w:val="fr-FR"/>
        </w:rPr>
        <w:t> </w:t>
      </w:r>
      <w:r w:rsidR="00FE79FE" w:rsidRPr="005451A6">
        <w:rPr>
          <w:lang w:val="fr-FR"/>
        </w:rPr>
        <w:t>mars</w:t>
      </w:r>
      <w:r w:rsidR="00CA3D1A" w:rsidRPr="005451A6">
        <w:rPr>
          <w:lang w:val="fr-FR"/>
        </w:rPr>
        <w:t xml:space="preserve"> </w:t>
      </w:r>
      <w:r w:rsidR="00FE79FE" w:rsidRPr="005451A6">
        <w:rPr>
          <w:lang w:val="fr-FR"/>
        </w:rPr>
        <w:t>2006. L</w:t>
      </w:r>
      <w:r w:rsidR="005451A6" w:rsidRPr="005451A6">
        <w:rPr>
          <w:lang w:val="fr-FR"/>
        </w:rPr>
        <w:t>’</w:t>
      </w:r>
      <w:r w:rsidR="00FE79FE" w:rsidRPr="005451A6">
        <w:rPr>
          <w:lang w:val="fr-FR"/>
        </w:rPr>
        <w:t>article 27, alinéa 2, du décret a prévu l</w:t>
      </w:r>
      <w:r w:rsidR="005451A6" w:rsidRPr="005451A6">
        <w:rPr>
          <w:lang w:val="fr-FR"/>
        </w:rPr>
        <w:t>’</w:t>
      </w:r>
      <w:r w:rsidR="00FE79FE" w:rsidRPr="005451A6">
        <w:rPr>
          <w:lang w:val="fr-FR"/>
        </w:rPr>
        <w:t>application de l</w:t>
      </w:r>
      <w:r w:rsidR="005451A6" w:rsidRPr="005451A6">
        <w:rPr>
          <w:lang w:val="fr-FR"/>
        </w:rPr>
        <w:t>’</w:t>
      </w:r>
      <w:r w:rsidR="00CA3D1A" w:rsidRPr="005451A6">
        <w:rPr>
          <w:lang w:val="fr-FR"/>
        </w:rPr>
        <w:t xml:space="preserve">article </w:t>
      </w:r>
      <w:r w:rsidR="00FE79FE" w:rsidRPr="005451A6">
        <w:rPr>
          <w:lang w:val="fr-FR"/>
        </w:rPr>
        <w:t>366</w:t>
      </w:r>
      <w:r w:rsidR="00FE79FE" w:rsidRPr="005451A6">
        <w:rPr>
          <w:i/>
          <w:lang w:val="fr-FR"/>
        </w:rPr>
        <w:t xml:space="preserve">bis </w:t>
      </w:r>
      <w:r w:rsidR="00FE79FE" w:rsidRPr="005451A6">
        <w:rPr>
          <w:lang w:val="fr-FR"/>
        </w:rPr>
        <w:t>CPC :</w:t>
      </w:r>
    </w:p>
    <w:p w:rsidR="00E76E51" w:rsidRPr="005451A6" w:rsidRDefault="001406C3" w:rsidP="005451A6">
      <w:pPr>
        <w:pStyle w:val="ECHRParaQuote"/>
        <w:rPr>
          <w:lang w:val="fr-FR"/>
        </w:rPr>
      </w:pPr>
      <w:r w:rsidRPr="005451A6">
        <w:rPr>
          <w:lang w:val="fr-FR"/>
        </w:rPr>
        <w:t>« </w:t>
      </w:r>
      <w:r w:rsidR="00FE79FE" w:rsidRPr="005451A6">
        <w:rPr>
          <w:lang w:val="fr-FR"/>
        </w:rPr>
        <w:t>(</w:t>
      </w:r>
      <w:r w:rsidR="0038278D" w:rsidRPr="005451A6">
        <w:rPr>
          <w:lang w:val="fr-FR"/>
        </w:rPr>
        <w:t>...</w:t>
      </w:r>
      <w:r w:rsidR="00FE79FE" w:rsidRPr="005451A6">
        <w:rPr>
          <w:lang w:val="fr-FR"/>
        </w:rPr>
        <w:t>) aux pourvois en cassation contre les arrêts et autres décisions publiés à partir de la date d</w:t>
      </w:r>
      <w:r w:rsidR="005451A6" w:rsidRPr="005451A6">
        <w:rPr>
          <w:lang w:val="fr-FR"/>
        </w:rPr>
        <w:t>’</w:t>
      </w:r>
      <w:r w:rsidR="00FE79FE" w:rsidRPr="005451A6">
        <w:rPr>
          <w:lang w:val="fr-FR"/>
        </w:rPr>
        <w:t>entrée</w:t>
      </w:r>
      <w:r w:rsidR="00CA3D1A" w:rsidRPr="005451A6">
        <w:rPr>
          <w:lang w:val="fr-FR"/>
        </w:rPr>
        <w:t xml:space="preserve"> en vigueur du présent décret. »</w:t>
      </w:r>
    </w:p>
    <w:p w:rsidR="0038278D" w:rsidRPr="005451A6" w:rsidRDefault="00FE79FE" w:rsidP="005451A6">
      <w:pPr>
        <w:pStyle w:val="ECHRPara"/>
        <w:rPr>
          <w:lang w:val="fr-FR"/>
        </w:rPr>
      </w:pPr>
      <w:r w:rsidRPr="005451A6">
        <w:rPr>
          <w:lang w:val="fr-FR"/>
        </w:rPr>
        <w:t>L</w:t>
      </w:r>
      <w:r w:rsidR="005451A6" w:rsidRPr="005451A6">
        <w:rPr>
          <w:lang w:val="fr-FR"/>
        </w:rPr>
        <w:t>’</w:t>
      </w:r>
      <w:r w:rsidRPr="005451A6">
        <w:rPr>
          <w:lang w:val="fr-FR"/>
        </w:rPr>
        <w:t>article 366</w:t>
      </w:r>
      <w:r w:rsidRPr="005451A6">
        <w:rPr>
          <w:i/>
          <w:lang w:val="fr-FR"/>
        </w:rPr>
        <w:t>bis</w:t>
      </w:r>
      <w:r w:rsidRPr="005451A6">
        <w:rPr>
          <w:lang w:val="fr-FR"/>
        </w:rPr>
        <w:t xml:space="preserve"> CPC a été abrogé, sans effet rétroactif, </w:t>
      </w:r>
      <w:r w:rsidR="009903E6" w:rsidRPr="005451A6">
        <w:rPr>
          <w:lang w:val="fr-FR"/>
        </w:rPr>
        <w:t>par l</w:t>
      </w:r>
      <w:r w:rsidR="005451A6" w:rsidRPr="005451A6">
        <w:rPr>
          <w:lang w:val="fr-FR"/>
        </w:rPr>
        <w:t>’</w:t>
      </w:r>
      <w:r w:rsidRPr="005451A6">
        <w:rPr>
          <w:lang w:val="fr-FR"/>
        </w:rPr>
        <w:t>article 47 de l</w:t>
      </w:r>
      <w:r w:rsidR="009903E6" w:rsidRPr="005451A6">
        <w:rPr>
          <w:lang w:val="fr-FR"/>
        </w:rPr>
        <w:t>a loi n</w:t>
      </w:r>
      <w:r w:rsidR="009903E6" w:rsidRPr="005451A6">
        <w:rPr>
          <w:vertAlign w:val="superscript"/>
          <w:lang w:val="fr-FR"/>
        </w:rPr>
        <w:t>o</w:t>
      </w:r>
      <w:r w:rsidRPr="005451A6">
        <w:rPr>
          <w:vertAlign w:val="superscript"/>
          <w:lang w:val="fr-FR"/>
        </w:rPr>
        <w:t> </w:t>
      </w:r>
      <w:r w:rsidR="009903E6" w:rsidRPr="005451A6">
        <w:rPr>
          <w:lang w:val="fr-FR"/>
        </w:rPr>
        <w:t>69 du 18 juin 2009</w:t>
      </w:r>
      <w:r w:rsidRPr="005451A6">
        <w:rPr>
          <w:lang w:val="fr-FR"/>
        </w:rPr>
        <w:t>, entrée en vigueur le 4 juillet 2009</w:t>
      </w:r>
      <w:r w:rsidR="009903E6" w:rsidRPr="005451A6">
        <w:rPr>
          <w:lang w:val="fr-FR"/>
        </w:rPr>
        <w:t>.</w:t>
      </w:r>
    </w:p>
    <w:p w:rsidR="00E77CB3" w:rsidRPr="005451A6" w:rsidRDefault="00E77CB3" w:rsidP="005451A6">
      <w:pPr>
        <w:pStyle w:val="ECHRTitle1"/>
        <w:rPr>
          <w:lang w:val="fr-FR"/>
        </w:rPr>
      </w:pPr>
      <w:r w:rsidRPr="005451A6">
        <w:rPr>
          <w:lang w:val="fr-FR"/>
        </w:rPr>
        <w:t>EN DROIT</w:t>
      </w:r>
    </w:p>
    <w:p w:rsidR="00E77CB3" w:rsidRPr="005451A6" w:rsidRDefault="00E77CB3" w:rsidP="005451A6">
      <w:pPr>
        <w:pStyle w:val="ECHRHeading1"/>
        <w:tabs>
          <w:tab w:val="clear" w:pos="357"/>
          <w:tab w:val="left" w:pos="0"/>
        </w:tabs>
        <w:ind w:left="0" w:firstLine="0"/>
        <w:rPr>
          <w:lang w:val="fr-FR"/>
        </w:rPr>
      </w:pPr>
      <w:r w:rsidRPr="005451A6">
        <w:rPr>
          <w:lang w:val="fr-FR"/>
        </w:rPr>
        <w:t>SUR LA VIOLATION ALLÉGUÉE DE L</w:t>
      </w:r>
      <w:r w:rsidR="005451A6" w:rsidRPr="005451A6">
        <w:rPr>
          <w:lang w:val="fr-FR"/>
        </w:rPr>
        <w:t>’</w:t>
      </w:r>
      <w:r w:rsidRPr="005451A6">
        <w:rPr>
          <w:lang w:val="fr-FR"/>
        </w:rPr>
        <w:t xml:space="preserve">ARTICLE </w:t>
      </w:r>
      <w:r w:rsidR="00F543BE" w:rsidRPr="005451A6">
        <w:rPr>
          <w:lang w:val="fr-FR"/>
        </w:rPr>
        <w:t>6 § 1</w:t>
      </w:r>
      <w:r w:rsidR="00CB738C" w:rsidRPr="005451A6">
        <w:rPr>
          <w:lang w:val="fr-FR"/>
        </w:rPr>
        <w:t xml:space="preserve"> DE LA </w:t>
      </w:r>
      <w:r w:rsidRPr="005451A6">
        <w:rPr>
          <w:lang w:val="fr-FR"/>
        </w:rPr>
        <w:t>CONVENTION</w:t>
      </w:r>
    </w:p>
    <w:p w:rsidR="003C628F" w:rsidRPr="005451A6" w:rsidRDefault="000C6143" w:rsidP="005451A6">
      <w:pPr>
        <w:pStyle w:val="ECHRPara"/>
        <w:keepNext/>
        <w:keepLines/>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25</w:t>
      </w:r>
      <w:r w:rsidRPr="005451A6">
        <w:rPr>
          <w:lang w:val="fr-FR"/>
        </w:rPr>
        <w:fldChar w:fldCharType="end"/>
      </w:r>
      <w:r w:rsidR="00E77CB3" w:rsidRPr="005451A6">
        <w:rPr>
          <w:lang w:val="fr-FR"/>
        </w:rPr>
        <w:t>.  </w:t>
      </w:r>
      <w:r w:rsidR="003C628F" w:rsidRPr="005451A6">
        <w:rPr>
          <w:lang w:val="fr-FR"/>
        </w:rPr>
        <w:t>Le requérant se plaint de</w:t>
      </w:r>
      <w:r w:rsidR="000A4EF5" w:rsidRPr="005451A6">
        <w:rPr>
          <w:lang w:val="fr-FR"/>
        </w:rPr>
        <w:t xml:space="preserve"> la décision par laquelle le 28 octobre </w:t>
      </w:r>
      <w:r w:rsidR="003C628F" w:rsidRPr="005451A6">
        <w:rPr>
          <w:lang w:val="fr-FR"/>
        </w:rPr>
        <w:t>2010, la Cour de cassation déclara irrecevable son pourvoi en cassation, en application de l</w:t>
      </w:r>
      <w:r w:rsidR="005451A6" w:rsidRPr="005451A6">
        <w:rPr>
          <w:lang w:val="fr-FR"/>
        </w:rPr>
        <w:t>’</w:t>
      </w:r>
      <w:r w:rsidR="003C628F" w:rsidRPr="005451A6">
        <w:rPr>
          <w:lang w:val="fr-FR"/>
        </w:rPr>
        <w:t>article 366</w:t>
      </w:r>
      <w:r w:rsidR="003C628F" w:rsidRPr="005451A6">
        <w:rPr>
          <w:i/>
          <w:lang w:val="fr-FR"/>
        </w:rPr>
        <w:t>bis</w:t>
      </w:r>
      <w:r w:rsidR="003C628F" w:rsidRPr="005451A6">
        <w:rPr>
          <w:lang w:val="fr-FR"/>
        </w:rPr>
        <w:t xml:space="preserve"> </w:t>
      </w:r>
      <w:r w:rsidR="00DE08FC" w:rsidRPr="005451A6">
        <w:rPr>
          <w:lang w:val="fr-FR"/>
        </w:rPr>
        <w:t>du code de procédure civile</w:t>
      </w:r>
      <w:r w:rsidR="003C628F" w:rsidRPr="005451A6">
        <w:rPr>
          <w:lang w:val="fr-FR"/>
        </w:rPr>
        <w:t>. Dénonçant une atteinte à son droit à un tribunal, il invoque l</w:t>
      </w:r>
      <w:r w:rsidR="005451A6" w:rsidRPr="005451A6">
        <w:rPr>
          <w:lang w:val="fr-FR"/>
        </w:rPr>
        <w:t>’</w:t>
      </w:r>
      <w:r w:rsidR="003C628F" w:rsidRPr="005451A6">
        <w:rPr>
          <w:lang w:val="fr-FR"/>
        </w:rPr>
        <w:t>article 6 § 1 de la Convention, dont la parti</w:t>
      </w:r>
      <w:r w:rsidR="001406C3" w:rsidRPr="005451A6">
        <w:rPr>
          <w:lang w:val="fr-FR"/>
        </w:rPr>
        <w:t>e pertinente est ainsi libellée </w:t>
      </w:r>
      <w:r w:rsidR="003C628F" w:rsidRPr="005451A6">
        <w:rPr>
          <w:lang w:val="fr-FR"/>
        </w:rPr>
        <w:t>:</w:t>
      </w:r>
    </w:p>
    <w:p w:rsidR="003C628F" w:rsidRPr="005451A6" w:rsidRDefault="003C628F" w:rsidP="005451A6">
      <w:pPr>
        <w:pStyle w:val="ECHRParaQuote"/>
        <w:rPr>
          <w:lang w:val="fr-FR"/>
        </w:rPr>
      </w:pPr>
      <w:r w:rsidRPr="005451A6">
        <w:rPr>
          <w:lang w:val="fr-FR"/>
        </w:rPr>
        <w:t>«</w:t>
      </w:r>
      <w:r w:rsidR="001406C3" w:rsidRPr="005451A6">
        <w:rPr>
          <w:lang w:val="fr-FR"/>
        </w:rPr>
        <w:t> </w:t>
      </w:r>
      <w:r w:rsidRPr="005451A6">
        <w:rPr>
          <w:lang w:val="fr-FR"/>
        </w:rPr>
        <w:t>Toute personne a droit à ce que sa cause soit entendue équitablement (...) par un tribunal (...) qui décidera (...) des contestations sur ses droits et obligations de caractère civil (...)</w:t>
      </w:r>
      <w:r w:rsidR="001406C3" w:rsidRPr="005451A6">
        <w:rPr>
          <w:lang w:val="fr-FR"/>
        </w:rPr>
        <w:t> </w:t>
      </w:r>
      <w:r w:rsidRPr="005451A6">
        <w:rPr>
          <w:lang w:val="fr-FR"/>
        </w:rPr>
        <w:t>»</w:t>
      </w:r>
    </w:p>
    <w:p w:rsidR="003C628F" w:rsidRPr="005451A6" w:rsidRDefault="00DE08FC"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26</w:t>
      </w:r>
      <w:r w:rsidRPr="005451A6">
        <w:rPr>
          <w:lang w:val="fr-FR"/>
        </w:rPr>
        <w:fldChar w:fldCharType="end"/>
      </w:r>
      <w:r w:rsidRPr="005451A6">
        <w:rPr>
          <w:lang w:val="fr-FR"/>
        </w:rPr>
        <w:t>.  </w:t>
      </w:r>
      <w:r w:rsidR="00E77CB3" w:rsidRPr="005451A6">
        <w:rPr>
          <w:lang w:val="fr-FR"/>
        </w:rPr>
        <w:t>Le Gouvernement s</w:t>
      </w:r>
      <w:r w:rsidR="005451A6" w:rsidRPr="005451A6">
        <w:rPr>
          <w:lang w:val="fr-FR"/>
        </w:rPr>
        <w:t>’</w:t>
      </w:r>
      <w:r w:rsidR="00E77CB3" w:rsidRPr="005451A6">
        <w:rPr>
          <w:lang w:val="fr-FR"/>
        </w:rPr>
        <w:t>oppose à cette thèse.</w:t>
      </w:r>
    </w:p>
    <w:p w:rsidR="00E77CB3" w:rsidRPr="005451A6" w:rsidRDefault="00E77CB3" w:rsidP="005451A6">
      <w:pPr>
        <w:pStyle w:val="ECHRHeading2"/>
        <w:keepNext w:val="0"/>
        <w:keepLines w:val="0"/>
        <w:rPr>
          <w:lang w:val="fr-FR"/>
        </w:rPr>
      </w:pPr>
      <w:r w:rsidRPr="005451A6">
        <w:rPr>
          <w:lang w:val="fr-FR"/>
        </w:rPr>
        <w:t>A.  Sur la recevabilité</w:t>
      </w:r>
    </w:p>
    <w:p w:rsidR="00E77CB3" w:rsidRPr="005451A6" w:rsidRDefault="00A53B97"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27</w:t>
      </w:r>
      <w:r w:rsidRPr="005451A6">
        <w:rPr>
          <w:lang w:val="fr-FR"/>
        </w:rPr>
        <w:fldChar w:fldCharType="end"/>
      </w:r>
      <w:r w:rsidRPr="005451A6">
        <w:rPr>
          <w:lang w:val="fr-FR"/>
        </w:rPr>
        <w:t>.  </w:t>
      </w:r>
      <w:r w:rsidR="00E77CB3" w:rsidRPr="005451A6">
        <w:rPr>
          <w:lang w:val="fr-FR"/>
        </w:rPr>
        <w:t xml:space="preserve">La Cour constate que </w:t>
      </w:r>
      <w:r w:rsidR="00CB738C" w:rsidRPr="005451A6">
        <w:rPr>
          <w:lang w:val="fr-FR"/>
        </w:rPr>
        <w:t>la requête</w:t>
      </w:r>
      <w:r w:rsidR="00E77CB3" w:rsidRPr="005451A6">
        <w:rPr>
          <w:lang w:val="fr-FR"/>
        </w:rPr>
        <w:t xml:space="preserve"> n</w:t>
      </w:r>
      <w:r w:rsidR="005451A6" w:rsidRPr="005451A6">
        <w:rPr>
          <w:lang w:val="fr-FR"/>
        </w:rPr>
        <w:t>’</w:t>
      </w:r>
      <w:r w:rsidR="00E77CB3" w:rsidRPr="005451A6">
        <w:rPr>
          <w:lang w:val="fr-FR"/>
        </w:rPr>
        <w:t>est pas manifestement mal fondé</w:t>
      </w:r>
      <w:r w:rsidR="00CB738C" w:rsidRPr="005451A6">
        <w:rPr>
          <w:lang w:val="fr-FR"/>
        </w:rPr>
        <w:t>e</w:t>
      </w:r>
      <w:r w:rsidR="00E77CB3" w:rsidRPr="005451A6">
        <w:rPr>
          <w:lang w:val="fr-FR"/>
        </w:rPr>
        <w:t xml:space="preserve"> au sens de l</w:t>
      </w:r>
      <w:r w:rsidR="005451A6" w:rsidRPr="005451A6">
        <w:rPr>
          <w:lang w:val="fr-FR"/>
        </w:rPr>
        <w:t>’</w:t>
      </w:r>
      <w:r w:rsidR="00E77CB3" w:rsidRPr="005451A6">
        <w:rPr>
          <w:lang w:val="fr-FR"/>
        </w:rPr>
        <w:t>article 35 § 3 a) de la Convention</w:t>
      </w:r>
      <w:r w:rsidR="00694A2E" w:rsidRPr="005451A6">
        <w:rPr>
          <w:lang w:val="fr-FR"/>
        </w:rPr>
        <w:t xml:space="preserve"> et qu</w:t>
      </w:r>
      <w:r w:rsidR="005451A6" w:rsidRPr="005451A6">
        <w:rPr>
          <w:lang w:val="fr-FR"/>
        </w:rPr>
        <w:t>’</w:t>
      </w:r>
      <w:r w:rsidR="00CB738C" w:rsidRPr="005451A6">
        <w:rPr>
          <w:lang w:val="fr-FR"/>
        </w:rPr>
        <w:t>elle</w:t>
      </w:r>
      <w:r w:rsidR="00694A2E" w:rsidRPr="005451A6">
        <w:rPr>
          <w:lang w:val="fr-FR"/>
        </w:rPr>
        <w:t xml:space="preserve"> ne se heurte par ailleurs </w:t>
      </w:r>
      <w:r w:rsidR="00E77CB3" w:rsidRPr="005451A6">
        <w:rPr>
          <w:lang w:val="fr-FR"/>
        </w:rPr>
        <w:t>à aucun autre motif d</w:t>
      </w:r>
      <w:r w:rsidR="005451A6" w:rsidRPr="005451A6">
        <w:rPr>
          <w:lang w:val="fr-FR"/>
        </w:rPr>
        <w:t>’</w:t>
      </w:r>
      <w:r w:rsidR="00E77CB3" w:rsidRPr="005451A6">
        <w:rPr>
          <w:lang w:val="fr-FR"/>
        </w:rPr>
        <w:t>irrecevabilité</w:t>
      </w:r>
      <w:r w:rsidR="00875AB3" w:rsidRPr="005451A6">
        <w:rPr>
          <w:lang w:val="fr-FR"/>
        </w:rPr>
        <w:t>. Elle</w:t>
      </w:r>
      <w:r w:rsidR="00CB738C" w:rsidRPr="005451A6">
        <w:rPr>
          <w:lang w:val="fr-FR"/>
        </w:rPr>
        <w:t xml:space="preserve"> la</w:t>
      </w:r>
      <w:r w:rsidR="000F00EF" w:rsidRPr="005451A6">
        <w:rPr>
          <w:lang w:val="fr-FR"/>
        </w:rPr>
        <w:t xml:space="preserve"> déclare </w:t>
      </w:r>
      <w:r w:rsidR="00875AB3" w:rsidRPr="005451A6">
        <w:rPr>
          <w:lang w:val="fr-FR"/>
        </w:rPr>
        <w:t xml:space="preserve">donc </w:t>
      </w:r>
      <w:r w:rsidR="000F00EF" w:rsidRPr="005451A6">
        <w:rPr>
          <w:lang w:val="fr-FR"/>
        </w:rPr>
        <w:t>recevable</w:t>
      </w:r>
      <w:r w:rsidR="00E77CB3" w:rsidRPr="005451A6">
        <w:rPr>
          <w:lang w:val="fr-FR"/>
        </w:rPr>
        <w:t>.</w:t>
      </w:r>
    </w:p>
    <w:p w:rsidR="00E77CB3" w:rsidRPr="005451A6" w:rsidRDefault="00E77CB3" w:rsidP="005451A6">
      <w:pPr>
        <w:pStyle w:val="ECHRHeading2"/>
        <w:keepNext w:val="0"/>
        <w:keepLines w:val="0"/>
        <w:rPr>
          <w:lang w:val="fr-FR"/>
        </w:rPr>
      </w:pPr>
      <w:r w:rsidRPr="005451A6">
        <w:rPr>
          <w:lang w:val="fr-FR"/>
        </w:rPr>
        <w:lastRenderedPageBreak/>
        <w:t>B.  Sur le fond</w:t>
      </w:r>
    </w:p>
    <w:p w:rsidR="00A53B97" w:rsidRPr="005451A6" w:rsidRDefault="00A53B97" w:rsidP="005451A6">
      <w:pPr>
        <w:pStyle w:val="ECHRHeading3"/>
        <w:keepNext w:val="0"/>
        <w:keepLines w:val="0"/>
        <w:rPr>
          <w:lang w:val="fr-FR"/>
        </w:rPr>
      </w:pPr>
      <w:r w:rsidRPr="005451A6">
        <w:rPr>
          <w:lang w:val="fr-FR"/>
        </w:rPr>
        <w:t>1.  Arguments des parties</w:t>
      </w:r>
    </w:p>
    <w:p w:rsidR="00A53B97" w:rsidRPr="005451A6" w:rsidRDefault="00A53B97"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28</w:t>
      </w:r>
      <w:r w:rsidRPr="005451A6">
        <w:rPr>
          <w:lang w:val="fr-FR"/>
        </w:rPr>
        <w:fldChar w:fldCharType="end"/>
      </w:r>
      <w:r w:rsidRPr="005451A6">
        <w:rPr>
          <w:lang w:val="fr-FR"/>
        </w:rPr>
        <w:t xml:space="preserve">.  Le requérant soutient que </w:t>
      </w:r>
      <w:r w:rsidR="00DE08FC" w:rsidRPr="005451A6">
        <w:rPr>
          <w:lang w:val="fr-FR"/>
        </w:rPr>
        <w:t>son pourvoi en cassation respectait les conditions de forme et de contenu requises par les dispositions en vigueur à l</w:t>
      </w:r>
      <w:r w:rsidR="005451A6" w:rsidRPr="005451A6">
        <w:rPr>
          <w:lang w:val="fr-FR"/>
        </w:rPr>
        <w:t>’</w:t>
      </w:r>
      <w:r w:rsidR="00DE08FC" w:rsidRPr="005451A6">
        <w:rPr>
          <w:lang w:val="fr-FR"/>
        </w:rPr>
        <w:t xml:space="preserve">époque des faits et que </w:t>
      </w:r>
      <w:r w:rsidRPr="005451A6">
        <w:rPr>
          <w:lang w:val="fr-FR"/>
        </w:rPr>
        <w:t>la décision d</w:t>
      </w:r>
      <w:r w:rsidR="005451A6" w:rsidRPr="005451A6">
        <w:rPr>
          <w:lang w:val="fr-FR"/>
        </w:rPr>
        <w:t>’</w:t>
      </w:r>
      <w:r w:rsidRPr="005451A6">
        <w:rPr>
          <w:lang w:val="fr-FR"/>
        </w:rPr>
        <w:t>irrecevabilité de la Cour de cassation pour non-respect de l</w:t>
      </w:r>
      <w:r w:rsidR="005451A6" w:rsidRPr="005451A6">
        <w:rPr>
          <w:lang w:val="fr-FR"/>
        </w:rPr>
        <w:t>’</w:t>
      </w:r>
      <w:r w:rsidRPr="005451A6">
        <w:rPr>
          <w:lang w:val="fr-FR"/>
        </w:rPr>
        <w:t>article 366</w:t>
      </w:r>
      <w:r w:rsidRPr="005451A6">
        <w:rPr>
          <w:i/>
          <w:lang w:val="fr-FR"/>
        </w:rPr>
        <w:t>bis</w:t>
      </w:r>
      <w:r w:rsidRPr="005451A6">
        <w:rPr>
          <w:lang w:val="fr-FR"/>
        </w:rPr>
        <w:t xml:space="preserve"> CPC l</w:t>
      </w:r>
      <w:r w:rsidR="005451A6" w:rsidRPr="005451A6">
        <w:rPr>
          <w:lang w:val="fr-FR"/>
        </w:rPr>
        <w:t>’</w:t>
      </w:r>
      <w:r w:rsidRPr="005451A6">
        <w:rPr>
          <w:lang w:val="fr-FR"/>
        </w:rPr>
        <w:t>aurait privé de son droit à un tribunal</w:t>
      </w:r>
      <w:r w:rsidR="00360C1C" w:rsidRPr="005451A6">
        <w:rPr>
          <w:lang w:val="fr-FR"/>
        </w:rPr>
        <w:t>.</w:t>
      </w:r>
    </w:p>
    <w:p w:rsidR="00C72B00" w:rsidRPr="005451A6" w:rsidRDefault="00795DF0"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29</w:t>
      </w:r>
      <w:r w:rsidRPr="005451A6">
        <w:rPr>
          <w:lang w:val="fr-FR"/>
        </w:rPr>
        <w:fldChar w:fldCharType="end"/>
      </w:r>
      <w:r w:rsidRPr="005451A6">
        <w:rPr>
          <w:lang w:val="fr-FR"/>
        </w:rPr>
        <w:t xml:space="preserve">.  Le Gouvernement </w:t>
      </w:r>
      <w:r w:rsidR="00E76E51" w:rsidRPr="005451A6">
        <w:rPr>
          <w:lang w:val="fr-FR"/>
        </w:rPr>
        <w:t xml:space="preserve">conteste </w:t>
      </w:r>
      <w:r w:rsidRPr="005451A6">
        <w:rPr>
          <w:lang w:val="fr-FR"/>
        </w:rPr>
        <w:t>l</w:t>
      </w:r>
      <w:r w:rsidR="005451A6" w:rsidRPr="005451A6">
        <w:rPr>
          <w:lang w:val="fr-FR"/>
        </w:rPr>
        <w:t>’</w:t>
      </w:r>
      <w:r w:rsidRPr="005451A6">
        <w:rPr>
          <w:lang w:val="fr-FR"/>
        </w:rPr>
        <w:t>argument du requérant. Il rappelle que le système italien prévoi</w:t>
      </w:r>
      <w:r w:rsidR="000D26F6" w:rsidRPr="005451A6">
        <w:rPr>
          <w:lang w:val="fr-FR"/>
        </w:rPr>
        <w:t>t</w:t>
      </w:r>
      <w:r w:rsidRPr="005451A6">
        <w:rPr>
          <w:lang w:val="fr-FR"/>
        </w:rPr>
        <w:t xml:space="preserve"> deux degrés de ju</w:t>
      </w:r>
      <w:r w:rsidR="00DE08FC" w:rsidRPr="005451A6">
        <w:rPr>
          <w:lang w:val="fr-FR"/>
        </w:rPr>
        <w:t>ridiction</w:t>
      </w:r>
      <w:r w:rsidRPr="005451A6">
        <w:rPr>
          <w:lang w:val="fr-FR"/>
        </w:rPr>
        <w:t xml:space="preserve"> au fond et que le rôle de la Cour de cassation</w:t>
      </w:r>
      <w:r w:rsidR="0043597A" w:rsidRPr="005451A6">
        <w:rPr>
          <w:lang w:val="fr-FR"/>
        </w:rPr>
        <w:t xml:space="preserve">, similairement </w:t>
      </w:r>
      <w:r w:rsidR="00DE08FC" w:rsidRPr="005451A6">
        <w:rPr>
          <w:lang w:val="fr-FR"/>
        </w:rPr>
        <w:t>à d</w:t>
      </w:r>
      <w:r w:rsidR="005451A6" w:rsidRPr="005451A6">
        <w:rPr>
          <w:lang w:val="fr-FR"/>
        </w:rPr>
        <w:t>’</w:t>
      </w:r>
      <w:r w:rsidR="0043597A" w:rsidRPr="005451A6">
        <w:rPr>
          <w:lang w:val="fr-FR"/>
        </w:rPr>
        <w:t xml:space="preserve">autres systèmes juridiques, </w:t>
      </w:r>
      <w:r w:rsidR="00C51396" w:rsidRPr="005451A6">
        <w:rPr>
          <w:lang w:val="fr-FR"/>
        </w:rPr>
        <w:t>est limité à un</w:t>
      </w:r>
      <w:r w:rsidR="0043597A" w:rsidRPr="005451A6">
        <w:rPr>
          <w:lang w:val="fr-FR"/>
        </w:rPr>
        <w:t xml:space="preserve"> contrôle sur l</w:t>
      </w:r>
      <w:r w:rsidR="005451A6" w:rsidRPr="005451A6">
        <w:rPr>
          <w:lang w:val="fr-FR"/>
        </w:rPr>
        <w:t>’</w:t>
      </w:r>
      <w:r w:rsidR="0043597A" w:rsidRPr="005451A6">
        <w:rPr>
          <w:lang w:val="fr-FR"/>
        </w:rPr>
        <w:t>application du droit fait par les juridictions inférieures</w:t>
      </w:r>
      <w:r w:rsidR="00DE08FC" w:rsidRPr="005451A6">
        <w:rPr>
          <w:lang w:val="fr-FR"/>
        </w:rPr>
        <w:t xml:space="preserve"> afin de garantir une interprétation uniforme de la loi</w:t>
      </w:r>
      <w:r w:rsidR="0043597A" w:rsidRPr="005451A6">
        <w:rPr>
          <w:lang w:val="fr-FR"/>
        </w:rPr>
        <w:t>.</w:t>
      </w:r>
    </w:p>
    <w:p w:rsidR="00C72B00" w:rsidRPr="005451A6" w:rsidRDefault="0043597A" w:rsidP="005451A6">
      <w:pPr>
        <w:pStyle w:val="ECHRPara"/>
        <w:keepNext/>
        <w:keepLines/>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30</w:t>
      </w:r>
      <w:r w:rsidRPr="005451A6">
        <w:rPr>
          <w:lang w:val="fr-FR"/>
        </w:rPr>
        <w:fldChar w:fldCharType="end"/>
      </w:r>
      <w:r w:rsidRPr="005451A6">
        <w:rPr>
          <w:lang w:val="fr-FR"/>
        </w:rPr>
        <w:t>.  </w:t>
      </w:r>
      <w:r w:rsidR="007612B3" w:rsidRPr="005451A6">
        <w:rPr>
          <w:lang w:val="fr-FR"/>
        </w:rPr>
        <w:t>Le Gouvernement soutient que la pratique des pourvois en cassation, loin de se référer aux principes du droit que l</w:t>
      </w:r>
      <w:r w:rsidR="006234D4" w:rsidRPr="005451A6">
        <w:rPr>
          <w:lang w:val="fr-FR"/>
        </w:rPr>
        <w:t>a partie</w:t>
      </w:r>
      <w:r w:rsidR="007612B3" w:rsidRPr="005451A6">
        <w:rPr>
          <w:lang w:val="fr-FR"/>
        </w:rPr>
        <w:t xml:space="preserve"> estime avoir été violés ou appliquées de façon incorre</w:t>
      </w:r>
      <w:r w:rsidR="000C1220" w:rsidRPr="005451A6">
        <w:rPr>
          <w:lang w:val="fr-FR"/>
        </w:rPr>
        <w:t xml:space="preserve">cte, </w:t>
      </w:r>
      <w:r w:rsidR="007612B3" w:rsidRPr="005451A6">
        <w:rPr>
          <w:lang w:val="fr-FR"/>
        </w:rPr>
        <w:t>montr</w:t>
      </w:r>
      <w:r w:rsidR="000C1220" w:rsidRPr="005451A6">
        <w:rPr>
          <w:lang w:val="fr-FR"/>
        </w:rPr>
        <w:t>e de plus en plus une tendance à faire référence aux faits plutôt qu</w:t>
      </w:r>
      <w:r w:rsidR="005451A6" w:rsidRPr="005451A6">
        <w:rPr>
          <w:lang w:val="fr-FR"/>
        </w:rPr>
        <w:t>’</w:t>
      </w:r>
      <w:r w:rsidR="000C1220" w:rsidRPr="005451A6">
        <w:rPr>
          <w:lang w:val="fr-FR"/>
        </w:rPr>
        <w:t xml:space="preserve">au droit. Ce qui </w:t>
      </w:r>
      <w:r w:rsidR="006234D4" w:rsidRPr="005451A6">
        <w:rPr>
          <w:lang w:val="fr-FR"/>
        </w:rPr>
        <w:t>aurait</w:t>
      </w:r>
      <w:r w:rsidR="000C1220" w:rsidRPr="005451A6">
        <w:rPr>
          <w:lang w:val="fr-FR"/>
        </w:rPr>
        <w:t xml:space="preserve"> pour conséquence</w:t>
      </w:r>
      <w:r w:rsidR="006234D4" w:rsidRPr="005451A6">
        <w:rPr>
          <w:lang w:val="fr-FR"/>
        </w:rPr>
        <w:t xml:space="preserve"> un alourdissement de la charge de travail de la Cour de cassation</w:t>
      </w:r>
      <w:r w:rsidR="000C1220" w:rsidRPr="005451A6">
        <w:rPr>
          <w:lang w:val="fr-FR"/>
        </w:rPr>
        <w:t>, confronté</w:t>
      </w:r>
      <w:r w:rsidR="006234D4" w:rsidRPr="005451A6">
        <w:rPr>
          <w:lang w:val="fr-FR"/>
        </w:rPr>
        <w:t>e</w:t>
      </w:r>
      <w:r w:rsidR="000C1220" w:rsidRPr="005451A6">
        <w:rPr>
          <w:lang w:val="fr-FR"/>
        </w:rPr>
        <w:t xml:space="preserve"> à la tâche difficile d</w:t>
      </w:r>
      <w:r w:rsidR="005451A6" w:rsidRPr="005451A6">
        <w:rPr>
          <w:lang w:val="fr-FR"/>
        </w:rPr>
        <w:t>’</w:t>
      </w:r>
      <w:r w:rsidR="000C1220" w:rsidRPr="005451A6">
        <w:rPr>
          <w:lang w:val="fr-FR"/>
        </w:rPr>
        <w:t>isoler les princip</w:t>
      </w:r>
      <w:r w:rsidR="00815E06" w:rsidRPr="005451A6">
        <w:rPr>
          <w:lang w:val="fr-FR"/>
        </w:rPr>
        <w:t>es de droit prétendument violés</w:t>
      </w:r>
      <w:r w:rsidR="00A62C8B" w:rsidRPr="005451A6">
        <w:rPr>
          <w:lang w:val="fr-FR"/>
        </w:rPr>
        <w:t>.</w:t>
      </w:r>
      <w:r w:rsidR="000C1220" w:rsidRPr="005451A6">
        <w:rPr>
          <w:lang w:val="fr-FR"/>
        </w:rPr>
        <w:t xml:space="preserve"> </w:t>
      </w:r>
      <w:r w:rsidR="00A62C8B" w:rsidRPr="005451A6">
        <w:rPr>
          <w:lang w:val="fr-FR"/>
        </w:rPr>
        <w:t>L</w:t>
      </w:r>
      <w:r w:rsidR="005451A6" w:rsidRPr="005451A6">
        <w:rPr>
          <w:lang w:val="fr-FR"/>
        </w:rPr>
        <w:t>’</w:t>
      </w:r>
      <w:r w:rsidR="000C1220" w:rsidRPr="005451A6">
        <w:rPr>
          <w:lang w:val="fr-FR"/>
        </w:rPr>
        <w:t>introduction de l</w:t>
      </w:r>
      <w:r w:rsidR="005451A6" w:rsidRPr="005451A6">
        <w:rPr>
          <w:lang w:val="fr-FR"/>
        </w:rPr>
        <w:t>’</w:t>
      </w:r>
      <w:r w:rsidR="000C1220" w:rsidRPr="005451A6">
        <w:rPr>
          <w:lang w:val="fr-FR"/>
        </w:rPr>
        <w:t>article 366</w:t>
      </w:r>
      <w:r w:rsidR="000C1220" w:rsidRPr="005451A6">
        <w:rPr>
          <w:i/>
          <w:lang w:val="fr-FR"/>
        </w:rPr>
        <w:t>bis</w:t>
      </w:r>
      <w:r w:rsidR="00815E06" w:rsidRPr="005451A6">
        <w:rPr>
          <w:lang w:val="fr-FR"/>
        </w:rPr>
        <w:t xml:space="preserve"> CPC </w:t>
      </w:r>
      <w:r w:rsidR="006234D4" w:rsidRPr="005451A6">
        <w:rPr>
          <w:lang w:val="fr-FR"/>
        </w:rPr>
        <w:t xml:space="preserve">aurait donc </w:t>
      </w:r>
      <w:r w:rsidR="00E76E51" w:rsidRPr="005451A6">
        <w:rPr>
          <w:lang w:val="fr-FR"/>
        </w:rPr>
        <w:t xml:space="preserve">eu </w:t>
      </w:r>
      <w:r w:rsidR="006234D4" w:rsidRPr="005451A6">
        <w:rPr>
          <w:lang w:val="fr-FR"/>
        </w:rPr>
        <w:t xml:space="preserve">pour </w:t>
      </w:r>
      <w:r w:rsidR="00C51396" w:rsidRPr="005451A6">
        <w:rPr>
          <w:lang w:val="fr-FR"/>
        </w:rPr>
        <w:t>objectif</w:t>
      </w:r>
      <w:r w:rsidR="006234D4" w:rsidRPr="005451A6">
        <w:rPr>
          <w:lang w:val="fr-FR"/>
        </w:rPr>
        <w:t xml:space="preserve"> </w:t>
      </w:r>
      <w:r w:rsidR="000C1220" w:rsidRPr="005451A6">
        <w:rPr>
          <w:lang w:val="fr-FR"/>
        </w:rPr>
        <w:t>la nécessité d</w:t>
      </w:r>
      <w:r w:rsidR="005451A6" w:rsidRPr="005451A6">
        <w:rPr>
          <w:lang w:val="fr-FR"/>
        </w:rPr>
        <w:t>’</w:t>
      </w:r>
      <w:r w:rsidR="000C1220" w:rsidRPr="005451A6">
        <w:rPr>
          <w:lang w:val="fr-FR"/>
        </w:rPr>
        <w:t>éliminer cette pratique</w:t>
      </w:r>
      <w:r w:rsidR="009B2381" w:rsidRPr="005451A6">
        <w:rPr>
          <w:lang w:val="fr-FR"/>
        </w:rPr>
        <w:t xml:space="preserve"> </w:t>
      </w:r>
      <w:r w:rsidR="00A62C8B" w:rsidRPr="005451A6">
        <w:rPr>
          <w:lang w:val="fr-FR"/>
        </w:rPr>
        <w:t xml:space="preserve">et </w:t>
      </w:r>
      <w:r w:rsidR="009B2381" w:rsidRPr="005451A6">
        <w:rPr>
          <w:lang w:val="fr-FR"/>
        </w:rPr>
        <w:t>de rendre pl</w:t>
      </w:r>
      <w:r w:rsidR="000C1220" w:rsidRPr="005451A6">
        <w:rPr>
          <w:lang w:val="fr-FR"/>
        </w:rPr>
        <w:t>u</w:t>
      </w:r>
      <w:r w:rsidR="009B2381" w:rsidRPr="005451A6">
        <w:rPr>
          <w:lang w:val="fr-FR"/>
        </w:rPr>
        <w:t>s</w:t>
      </w:r>
      <w:r w:rsidR="00C51396" w:rsidRPr="005451A6">
        <w:rPr>
          <w:lang w:val="fr-FR"/>
        </w:rPr>
        <w:t xml:space="preserve"> claire </w:t>
      </w:r>
      <w:r w:rsidR="000C1220" w:rsidRPr="005451A6">
        <w:rPr>
          <w:lang w:val="fr-FR"/>
        </w:rPr>
        <w:t xml:space="preserve">et </w:t>
      </w:r>
      <w:r w:rsidR="00C51396" w:rsidRPr="005451A6">
        <w:rPr>
          <w:lang w:val="fr-FR"/>
        </w:rPr>
        <w:t>précise la formulation des</w:t>
      </w:r>
      <w:r w:rsidR="006234D4" w:rsidRPr="005451A6">
        <w:rPr>
          <w:lang w:val="fr-FR"/>
        </w:rPr>
        <w:t xml:space="preserve"> moyen</w:t>
      </w:r>
      <w:r w:rsidR="00C51396" w:rsidRPr="005451A6">
        <w:rPr>
          <w:lang w:val="fr-FR"/>
        </w:rPr>
        <w:t>s</w:t>
      </w:r>
      <w:r w:rsidR="006234D4" w:rsidRPr="005451A6">
        <w:rPr>
          <w:lang w:val="fr-FR"/>
        </w:rPr>
        <w:t xml:space="preserve"> de cassation</w:t>
      </w:r>
      <w:r w:rsidR="009B2381" w:rsidRPr="005451A6">
        <w:rPr>
          <w:lang w:val="fr-FR"/>
        </w:rPr>
        <w:t xml:space="preserve">. Il maintient </w:t>
      </w:r>
      <w:r w:rsidR="007C5818" w:rsidRPr="005451A6">
        <w:rPr>
          <w:lang w:val="fr-FR"/>
        </w:rPr>
        <w:t xml:space="preserve">en outre </w:t>
      </w:r>
      <w:r w:rsidR="009B2381" w:rsidRPr="005451A6">
        <w:rPr>
          <w:lang w:val="fr-FR"/>
        </w:rPr>
        <w:t>que l</w:t>
      </w:r>
      <w:r w:rsidR="005451A6" w:rsidRPr="005451A6">
        <w:rPr>
          <w:lang w:val="fr-FR"/>
        </w:rPr>
        <w:t>’</w:t>
      </w:r>
      <w:r w:rsidR="009B2381" w:rsidRPr="005451A6">
        <w:rPr>
          <w:lang w:val="fr-FR"/>
        </w:rPr>
        <w:t>obligation de présenter ledit « </w:t>
      </w:r>
      <w:r w:rsidR="009B2381" w:rsidRPr="005451A6">
        <w:rPr>
          <w:i/>
          <w:lang w:val="fr-FR"/>
        </w:rPr>
        <w:t>quesito di diritto</w:t>
      </w:r>
      <w:r w:rsidR="009B2381" w:rsidRPr="005451A6">
        <w:rPr>
          <w:lang w:val="fr-FR"/>
        </w:rPr>
        <w:t> » se résume</w:t>
      </w:r>
      <w:r w:rsidR="00A62C8B" w:rsidRPr="005451A6">
        <w:rPr>
          <w:lang w:val="fr-FR"/>
        </w:rPr>
        <w:t>rait</w:t>
      </w:r>
      <w:r w:rsidR="009B2381" w:rsidRPr="005451A6">
        <w:rPr>
          <w:lang w:val="fr-FR"/>
        </w:rPr>
        <w:t xml:space="preserve"> à un simple exercice logique</w:t>
      </w:r>
      <w:r w:rsidR="00A62C8B" w:rsidRPr="005451A6">
        <w:rPr>
          <w:lang w:val="fr-FR"/>
        </w:rPr>
        <w:t xml:space="preserve"> </w:t>
      </w:r>
      <w:r w:rsidR="006234D4" w:rsidRPr="005451A6">
        <w:rPr>
          <w:lang w:val="fr-FR"/>
        </w:rPr>
        <w:t xml:space="preserve">de synthèse </w:t>
      </w:r>
      <w:r w:rsidR="00A62C8B" w:rsidRPr="005451A6">
        <w:rPr>
          <w:lang w:val="fr-FR"/>
        </w:rPr>
        <w:t>qui</w:t>
      </w:r>
      <w:r w:rsidR="0081023B" w:rsidRPr="005451A6">
        <w:rPr>
          <w:lang w:val="fr-FR"/>
        </w:rPr>
        <w:t xml:space="preserve"> demande</w:t>
      </w:r>
      <w:r w:rsidR="00A62C8B" w:rsidRPr="005451A6">
        <w:rPr>
          <w:lang w:val="fr-FR"/>
        </w:rPr>
        <w:t>rait</w:t>
      </w:r>
      <w:r w:rsidR="0081023B" w:rsidRPr="005451A6">
        <w:rPr>
          <w:lang w:val="fr-FR"/>
        </w:rPr>
        <w:t xml:space="preserve"> </w:t>
      </w:r>
      <w:r w:rsidR="006234D4" w:rsidRPr="005451A6">
        <w:rPr>
          <w:lang w:val="fr-FR"/>
        </w:rPr>
        <w:t xml:space="preserve">à la partie </w:t>
      </w:r>
      <w:r w:rsidR="0081023B" w:rsidRPr="005451A6">
        <w:rPr>
          <w:lang w:val="fr-FR"/>
        </w:rPr>
        <w:t xml:space="preserve">une référence </w:t>
      </w:r>
      <w:r w:rsidR="00E76E51" w:rsidRPr="005451A6">
        <w:rPr>
          <w:lang w:val="fr-FR"/>
        </w:rPr>
        <w:t xml:space="preserve">précise </w:t>
      </w:r>
      <w:r w:rsidR="0081023B" w:rsidRPr="005451A6">
        <w:rPr>
          <w:lang w:val="fr-FR"/>
        </w:rPr>
        <w:t xml:space="preserve">au principe du droit </w:t>
      </w:r>
      <w:r w:rsidR="006234D4" w:rsidRPr="005451A6">
        <w:rPr>
          <w:lang w:val="fr-FR"/>
        </w:rPr>
        <w:t>prétendument</w:t>
      </w:r>
      <w:r w:rsidR="0081023B" w:rsidRPr="005451A6">
        <w:rPr>
          <w:lang w:val="fr-FR"/>
        </w:rPr>
        <w:t xml:space="preserve"> </w:t>
      </w:r>
      <w:r w:rsidR="006234D4" w:rsidRPr="005451A6">
        <w:rPr>
          <w:lang w:val="fr-FR"/>
        </w:rPr>
        <w:t>atteint</w:t>
      </w:r>
      <w:r w:rsidR="0081023B" w:rsidRPr="005451A6">
        <w:rPr>
          <w:lang w:val="fr-FR"/>
        </w:rPr>
        <w:t>.</w:t>
      </w:r>
    </w:p>
    <w:p w:rsidR="000C1220" w:rsidRPr="005451A6" w:rsidRDefault="00A62C8B"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31</w:t>
      </w:r>
      <w:r w:rsidRPr="005451A6">
        <w:rPr>
          <w:lang w:val="fr-FR"/>
        </w:rPr>
        <w:fldChar w:fldCharType="end"/>
      </w:r>
      <w:r w:rsidRPr="005451A6">
        <w:rPr>
          <w:lang w:val="fr-FR"/>
        </w:rPr>
        <w:t>.  </w:t>
      </w:r>
      <w:r w:rsidR="0081023B" w:rsidRPr="005451A6">
        <w:rPr>
          <w:lang w:val="fr-FR"/>
        </w:rPr>
        <w:t>Le Gouvernement conclut que l</w:t>
      </w:r>
      <w:r w:rsidR="005451A6" w:rsidRPr="005451A6">
        <w:rPr>
          <w:lang w:val="fr-FR"/>
        </w:rPr>
        <w:t>’</w:t>
      </w:r>
      <w:r w:rsidR="0081023B" w:rsidRPr="005451A6">
        <w:rPr>
          <w:lang w:val="fr-FR"/>
        </w:rPr>
        <w:t>abrogation de l</w:t>
      </w:r>
      <w:r w:rsidR="005451A6" w:rsidRPr="005451A6">
        <w:rPr>
          <w:lang w:val="fr-FR"/>
        </w:rPr>
        <w:t>’</w:t>
      </w:r>
      <w:r w:rsidR="0081023B" w:rsidRPr="005451A6">
        <w:rPr>
          <w:lang w:val="fr-FR"/>
        </w:rPr>
        <w:t>article 366</w:t>
      </w:r>
      <w:r w:rsidR="0081023B" w:rsidRPr="005451A6">
        <w:rPr>
          <w:i/>
          <w:lang w:val="fr-FR"/>
        </w:rPr>
        <w:t>bis</w:t>
      </w:r>
      <w:r w:rsidR="009B2381" w:rsidRPr="005451A6">
        <w:rPr>
          <w:lang w:val="fr-FR"/>
        </w:rPr>
        <w:t xml:space="preserve"> </w:t>
      </w:r>
      <w:r w:rsidR="007B6670" w:rsidRPr="005451A6">
        <w:rPr>
          <w:lang w:val="fr-FR"/>
        </w:rPr>
        <w:t xml:space="preserve">CPC </w:t>
      </w:r>
      <w:r w:rsidR="00534918" w:rsidRPr="005451A6">
        <w:rPr>
          <w:lang w:val="fr-FR"/>
        </w:rPr>
        <w:t>n</w:t>
      </w:r>
      <w:r w:rsidR="005451A6" w:rsidRPr="005451A6">
        <w:rPr>
          <w:lang w:val="fr-FR"/>
        </w:rPr>
        <w:t>’</w:t>
      </w:r>
      <w:r w:rsidR="00534918" w:rsidRPr="005451A6">
        <w:rPr>
          <w:lang w:val="fr-FR"/>
        </w:rPr>
        <w:t>est pas la conséquence d</w:t>
      </w:r>
      <w:r w:rsidR="005451A6" w:rsidRPr="005451A6">
        <w:rPr>
          <w:lang w:val="fr-FR"/>
        </w:rPr>
        <w:t>’</w:t>
      </w:r>
      <w:r w:rsidR="00534918" w:rsidRPr="005451A6">
        <w:rPr>
          <w:lang w:val="fr-FR"/>
        </w:rPr>
        <w:t>une évaluation négative de la disposition citée mais le résultat d</w:t>
      </w:r>
      <w:r w:rsidR="005451A6" w:rsidRPr="005451A6">
        <w:rPr>
          <w:lang w:val="fr-FR"/>
        </w:rPr>
        <w:t>’</w:t>
      </w:r>
      <w:r w:rsidR="00534918" w:rsidRPr="005451A6">
        <w:rPr>
          <w:lang w:val="fr-FR"/>
        </w:rPr>
        <w:t xml:space="preserve">une réorganisation de la procédure devant la Cour de cassation et du renforcement du filtre préventif </w:t>
      </w:r>
      <w:r w:rsidR="00E6392B" w:rsidRPr="005451A6">
        <w:rPr>
          <w:lang w:val="fr-FR"/>
        </w:rPr>
        <w:t xml:space="preserve">de recevabilité </w:t>
      </w:r>
      <w:r w:rsidR="00534918" w:rsidRPr="005451A6">
        <w:rPr>
          <w:lang w:val="fr-FR"/>
        </w:rPr>
        <w:t>des pourvois</w:t>
      </w:r>
      <w:r w:rsidR="000D26F6" w:rsidRPr="005451A6">
        <w:rPr>
          <w:lang w:val="fr-FR"/>
        </w:rPr>
        <w:t xml:space="preserve"> présentés devant elle</w:t>
      </w:r>
      <w:r w:rsidR="00534918" w:rsidRPr="005451A6">
        <w:rPr>
          <w:lang w:val="fr-FR"/>
        </w:rPr>
        <w:t>.</w:t>
      </w:r>
    </w:p>
    <w:p w:rsidR="00D60382" w:rsidRPr="005451A6" w:rsidRDefault="00534918" w:rsidP="005451A6">
      <w:pPr>
        <w:pStyle w:val="ECHRHeading3"/>
        <w:keepNext w:val="0"/>
        <w:keepLines w:val="0"/>
        <w:rPr>
          <w:lang w:val="fr-FR"/>
        </w:rPr>
      </w:pPr>
      <w:r w:rsidRPr="005451A6">
        <w:rPr>
          <w:lang w:val="fr-FR"/>
        </w:rPr>
        <w:t>2.  Appréciation de la Cour</w:t>
      </w:r>
    </w:p>
    <w:p w:rsidR="00D60382" w:rsidRPr="005451A6" w:rsidRDefault="00D60382" w:rsidP="005451A6">
      <w:pPr>
        <w:pStyle w:val="ECHRPara"/>
        <w:rPr>
          <w:snapToGrid w:val="0"/>
          <w:lang w:val="fr-FR"/>
        </w:rPr>
      </w:pPr>
      <w:r w:rsidRPr="005451A6">
        <w:rPr>
          <w:snapToGrid w:val="0"/>
          <w:lang w:val="fr-FR"/>
        </w:rPr>
        <w:fldChar w:fldCharType="begin"/>
      </w:r>
      <w:r w:rsidRPr="005451A6">
        <w:rPr>
          <w:snapToGrid w:val="0"/>
          <w:lang w:val="fr-FR"/>
        </w:rPr>
        <w:instrText xml:space="preserve"> SEQ level0 \*arabic </w:instrText>
      </w:r>
      <w:r w:rsidRPr="005451A6">
        <w:rPr>
          <w:snapToGrid w:val="0"/>
          <w:lang w:val="fr-FR"/>
        </w:rPr>
        <w:fldChar w:fldCharType="separate"/>
      </w:r>
      <w:r w:rsidR="005451A6" w:rsidRPr="005451A6">
        <w:rPr>
          <w:noProof/>
          <w:snapToGrid w:val="0"/>
          <w:lang w:val="fr-FR"/>
        </w:rPr>
        <w:t>32</w:t>
      </w:r>
      <w:r w:rsidRPr="005451A6">
        <w:rPr>
          <w:snapToGrid w:val="0"/>
          <w:lang w:val="fr-FR"/>
        </w:rPr>
        <w:fldChar w:fldCharType="end"/>
      </w:r>
      <w:r w:rsidRPr="005451A6">
        <w:rPr>
          <w:snapToGrid w:val="0"/>
          <w:lang w:val="fr-FR"/>
        </w:rPr>
        <w:t xml:space="preserve">.  La Cour rappelle </w:t>
      </w:r>
      <w:r w:rsidR="00C568CF" w:rsidRPr="005451A6">
        <w:rPr>
          <w:lang w:val="fr-FR"/>
        </w:rPr>
        <w:t>sa jurisprudence constante selon laquelle elle n</w:t>
      </w:r>
      <w:r w:rsidR="005451A6" w:rsidRPr="005451A6">
        <w:rPr>
          <w:lang w:val="fr-FR"/>
        </w:rPr>
        <w:t>’</w:t>
      </w:r>
      <w:r w:rsidR="00C568CF" w:rsidRPr="005451A6">
        <w:rPr>
          <w:lang w:val="fr-FR"/>
        </w:rPr>
        <w:t>a pas pour tâche de se substituer aux juridictions internes. C</w:t>
      </w:r>
      <w:r w:rsidR="005451A6" w:rsidRPr="005451A6">
        <w:rPr>
          <w:snapToGrid w:val="0"/>
          <w:lang w:val="fr-FR"/>
        </w:rPr>
        <w:t>’</w:t>
      </w:r>
      <w:r w:rsidRPr="005451A6">
        <w:rPr>
          <w:snapToGrid w:val="0"/>
          <w:lang w:val="fr-FR"/>
        </w:rPr>
        <w:t>est au premier chef aux autorités nationales, et notamment aux cours et tribunaux, qu</w:t>
      </w:r>
      <w:r w:rsidR="005451A6" w:rsidRPr="005451A6">
        <w:rPr>
          <w:snapToGrid w:val="0"/>
          <w:lang w:val="fr-FR"/>
        </w:rPr>
        <w:t>’</w:t>
      </w:r>
      <w:r w:rsidRPr="005451A6">
        <w:rPr>
          <w:snapToGrid w:val="0"/>
          <w:lang w:val="fr-FR"/>
        </w:rPr>
        <w:t>il incombe d</w:t>
      </w:r>
      <w:r w:rsidR="005451A6" w:rsidRPr="005451A6">
        <w:rPr>
          <w:snapToGrid w:val="0"/>
          <w:lang w:val="fr-FR"/>
        </w:rPr>
        <w:t>’</w:t>
      </w:r>
      <w:r w:rsidRPr="005451A6">
        <w:rPr>
          <w:snapToGrid w:val="0"/>
          <w:lang w:val="fr-FR"/>
        </w:rPr>
        <w:t>interpréter la législation interne</w:t>
      </w:r>
      <w:r w:rsidR="00C568CF" w:rsidRPr="005451A6">
        <w:rPr>
          <w:snapToGrid w:val="0"/>
          <w:lang w:val="fr-FR"/>
        </w:rPr>
        <w:t xml:space="preserve"> </w:t>
      </w:r>
      <w:r w:rsidR="00C568CF" w:rsidRPr="005451A6">
        <w:rPr>
          <w:lang w:val="fr-FR"/>
        </w:rPr>
        <w:t>(voir, parmi beaucoup d</w:t>
      </w:r>
      <w:r w:rsidR="005451A6" w:rsidRPr="005451A6">
        <w:rPr>
          <w:lang w:val="fr-FR"/>
        </w:rPr>
        <w:t>’</w:t>
      </w:r>
      <w:r w:rsidR="00C568CF" w:rsidRPr="005451A6">
        <w:rPr>
          <w:lang w:val="fr-FR"/>
        </w:rPr>
        <w:t xml:space="preserve">autres, </w:t>
      </w:r>
      <w:r w:rsidR="00C568CF" w:rsidRPr="005451A6">
        <w:rPr>
          <w:i/>
          <w:lang w:val="fr-FR"/>
        </w:rPr>
        <w:t>García Manibardo c. Espagne</w:t>
      </w:r>
      <w:r w:rsidR="00C568CF" w:rsidRPr="005451A6">
        <w:rPr>
          <w:lang w:val="fr-FR"/>
        </w:rPr>
        <w:t>, n</w:t>
      </w:r>
      <w:r w:rsidR="00C568CF" w:rsidRPr="005451A6">
        <w:rPr>
          <w:vertAlign w:val="superscript"/>
          <w:lang w:val="fr-FR"/>
        </w:rPr>
        <w:t>o</w:t>
      </w:r>
      <w:r w:rsidR="00C568CF" w:rsidRPr="005451A6">
        <w:rPr>
          <w:lang w:val="fr-FR"/>
        </w:rPr>
        <w:t xml:space="preserve"> 38695/97, § 36, CEDH 2000</w:t>
      </w:r>
      <w:r w:rsidR="00C568CF" w:rsidRPr="005451A6">
        <w:rPr>
          <w:lang w:val="fr-FR"/>
        </w:rPr>
        <w:noBreakHyphen/>
        <w:t>II).</w:t>
      </w:r>
      <w:r w:rsidR="00BC585C" w:rsidRPr="005451A6">
        <w:rPr>
          <w:snapToGrid w:val="0"/>
          <w:lang w:val="fr-FR"/>
        </w:rPr>
        <w:t xml:space="preserve"> </w:t>
      </w:r>
      <w:r w:rsidRPr="005451A6">
        <w:rPr>
          <w:snapToGrid w:val="0"/>
          <w:lang w:val="fr-FR"/>
        </w:rPr>
        <w:t>Son rôle à elle se limite à vérifier la compatibilité avec la Convention des effets de pareille interprétation. Cela est particulièrement vrai s</w:t>
      </w:r>
      <w:r w:rsidR="005451A6" w:rsidRPr="005451A6">
        <w:rPr>
          <w:snapToGrid w:val="0"/>
          <w:lang w:val="fr-FR"/>
        </w:rPr>
        <w:t>’</w:t>
      </w:r>
      <w:r w:rsidRPr="005451A6">
        <w:rPr>
          <w:snapToGrid w:val="0"/>
          <w:lang w:val="fr-FR"/>
        </w:rPr>
        <w:t>agissant de l</w:t>
      </w:r>
      <w:r w:rsidR="005451A6" w:rsidRPr="005451A6">
        <w:rPr>
          <w:snapToGrid w:val="0"/>
          <w:lang w:val="fr-FR"/>
        </w:rPr>
        <w:t>’</w:t>
      </w:r>
      <w:r w:rsidRPr="005451A6">
        <w:rPr>
          <w:snapToGrid w:val="0"/>
          <w:lang w:val="fr-FR"/>
        </w:rPr>
        <w:t>interprétation par les tribunaux de règles procédurales telles que celles fixant les délais à respecter pour le dépôt des documents ou l</w:t>
      </w:r>
      <w:r w:rsidR="005451A6" w:rsidRPr="005451A6">
        <w:rPr>
          <w:snapToGrid w:val="0"/>
          <w:lang w:val="fr-FR"/>
        </w:rPr>
        <w:t>’</w:t>
      </w:r>
      <w:r w:rsidRPr="005451A6">
        <w:rPr>
          <w:snapToGrid w:val="0"/>
          <w:lang w:val="fr-FR"/>
        </w:rPr>
        <w:t>introduction des recours (</w:t>
      </w:r>
      <w:r w:rsidRPr="005451A6">
        <w:rPr>
          <w:i/>
          <w:snapToGrid w:val="0"/>
          <w:lang w:val="fr-FR"/>
        </w:rPr>
        <w:t>Tejedor García c. Espagne</w:t>
      </w:r>
      <w:r w:rsidRPr="005451A6">
        <w:rPr>
          <w:snapToGrid w:val="0"/>
          <w:lang w:val="fr-FR"/>
        </w:rPr>
        <w:t xml:space="preserve"> du 16 décembre 1997, Recueil des arrêts et décisions 1997-VIII, § 31). La réglementation relative aux formalités et délais à observer pour former un recours vise à assurer la </w:t>
      </w:r>
      <w:r w:rsidRPr="005451A6">
        <w:rPr>
          <w:snapToGrid w:val="0"/>
          <w:lang w:val="fr-FR"/>
        </w:rPr>
        <w:lastRenderedPageBreak/>
        <w:t>bonne administration de la justice et le respect, en particulier, de la sécurité juridique. Les intéressés doivent normalement s</w:t>
      </w:r>
      <w:r w:rsidR="005451A6" w:rsidRPr="005451A6">
        <w:rPr>
          <w:snapToGrid w:val="0"/>
          <w:lang w:val="fr-FR"/>
        </w:rPr>
        <w:t>’</w:t>
      </w:r>
      <w:r w:rsidRPr="005451A6">
        <w:rPr>
          <w:snapToGrid w:val="0"/>
          <w:lang w:val="fr-FR"/>
        </w:rPr>
        <w:t>attendre à ce que ces règles soient appliquées (</w:t>
      </w:r>
      <w:r w:rsidRPr="005451A6">
        <w:rPr>
          <w:i/>
          <w:snapToGrid w:val="0"/>
          <w:lang w:val="fr-FR"/>
        </w:rPr>
        <w:t>Miragall Escolano et autres c. Espagne</w:t>
      </w:r>
      <w:r w:rsidRPr="005451A6">
        <w:rPr>
          <w:snapToGrid w:val="0"/>
          <w:lang w:val="fr-FR"/>
        </w:rPr>
        <w:t>, n</w:t>
      </w:r>
      <w:r w:rsidRPr="005451A6">
        <w:rPr>
          <w:snapToGrid w:val="0"/>
          <w:vertAlign w:val="superscript"/>
          <w:lang w:val="fr-FR"/>
        </w:rPr>
        <w:t>os</w:t>
      </w:r>
      <w:r w:rsidR="000A4EF5" w:rsidRPr="005451A6">
        <w:rPr>
          <w:snapToGrid w:val="0"/>
          <w:vertAlign w:val="superscript"/>
          <w:lang w:val="fr-FR"/>
        </w:rPr>
        <w:t> </w:t>
      </w:r>
      <w:r w:rsidRPr="005451A6">
        <w:rPr>
          <w:snapToGrid w:val="0"/>
          <w:lang w:val="fr-FR"/>
        </w:rPr>
        <w:t>38366/97, 38688/97, 40777/98, 40843/98, 41015/98, 41400/98, 41446/98, 41484/98, 41487/98 et 41509/98, §§ 33, CEDH 2000-I).</w:t>
      </w:r>
    </w:p>
    <w:p w:rsidR="003C628F" w:rsidRPr="005451A6" w:rsidRDefault="00C568CF" w:rsidP="005451A6">
      <w:pPr>
        <w:pStyle w:val="ECHRPara"/>
        <w:keepNext/>
        <w:keepLines/>
        <w:rPr>
          <w:snapToGrid w:val="0"/>
          <w:lang w:val="fr-FR"/>
        </w:rPr>
      </w:pPr>
      <w:r w:rsidRPr="005451A6">
        <w:rPr>
          <w:snapToGrid w:val="0"/>
          <w:lang w:val="fr-FR"/>
        </w:rPr>
        <w:fldChar w:fldCharType="begin"/>
      </w:r>
      <w:r w:rsidRPr="005451A6">
        <w:rPr>
          <w:snapToGrid w:val="0"/>
          <w:lang w:val="fr-FR"/>
        </w:rPr>
        <w:instrText xml:space="preserve"> SEQ level0 \*arabic </w:instrText>
      </w:r>
      <w:r w:rsidRPr="005451A6">
        <w:rPr>
          <w:snapToGrid w:val="0"/>
          <w:lang w:val="fr-FR"/>
        </w:rPr>
        <w:fldChar w:fldCharType="separate"/>
      </w:r>
      <w:r w:rsidR="005451A6" w:rsidRPr="005451A6">
        <w:rPr>
          <w:noProof/>
          <w:snapToGrid w:val="0"/>
          <w:lang w:val="fr-FR"/>
        </w:rPr>
        <w:t>33</w:t>
      </w:r>
      <w:r w:rsidRPr="005451A6">
        <w:rPr>
          <w:snapToGrid w:val="0"/>
          <w:lang w:val="fr-FR"/>
        </w:rPr>
        <w:fldChar w:fldCharType="end"/>
      </w:r>
      <w:r w:rsidRPr="005451A6">
        <w:rPr>
          <w:snapToGrid w:val="0"/>
          <w:lang w:val="fr-FR"/>
        </w:rPr>
        <w:t>.  </w:t>
      </w:r>
      <w:r w:rsidR="00D60382" w:rsidRPr="005451A6">
        <w:rPr>
          <w:snapToGrid w:val="0"/>
          <w:lang w:val="fr-FR"/>
        </w:rPr>
        <w:t>Par ailleurs, le « droit à un tribunal », dont le droit d</w:t>
      </w:r>
      <w:r w:rsidR="005451A6" w:rsidRPr="005451A6">
        <w:rPr>
          <w:snapToGrid w:val="0"/>
          <w:lang w:val="fr-FR"/>
        </w:rPr>
        <w:t>’</w:t>
      </w:r>
      <w:r w:rsidR="00D60382" w:rsidRPr="005451A6">
        <w:rPr>
          <w:snapToGrid w:val="0"/>
          <w:lang w:val="fr-FR"/>
        </w:rPr>
        <w:t>accès constitue un aspect, n</w:t>
      </w:r>
      <w:r w:rsidR="005451A6" w:rsidRPr="005451A6">
        <w:rPr>
          <w:snapToGrid w:val="0"/>
          <w:lang w:val="fr-FR"/>
        </w:rPr>
        <w:t>’</w:t>
      </w:r>
      <w:r w:rsidR="00D60382" w:rsidRPr="005451A6">
        <w:rPr>
          <w:snapToGrid w:val="0"/>
          <w:lang w:val="fr-FR"/>
        </w:rPr>
        <w:t>est pas absolu et se prête à des limitations implicitement admises, notamment en ce qui concerne les conditions de recevabilité d</w:t>
      </w:r>
      <w:r w:rsidR="005451A6" w:rsidRPr="005451A6">
        <w:rPr>
          <w:snapToGrid w:val="0"/>
          <w:lang w:val="fr-FR"/>
        </w:rPr>
        <w:t>’</w:t>
      </w:r>
      <w:r w:rsidR="00D60382" w:rsidRPr="005451A6">
        <w:rPr>
          <w:snapToGrid w:val="0"/>
          <w:lang w:val="fr-FR"/>
        </w:rPr>
        <w:t>un recours, car il appelle de par sa nature même une réglementation par l</w:t>
      </w:r>
      <w:r w:rsidR="005451A6" w:rsidRPr="005451A6">
        <w:rPr>
          <w:snapToGrid w:val="0"/>
          <w:lang w:val="fr-FR"/>
        </w:rPr>
        <w:t>’</w:t>
      </w:r>
      <w:r w:rsidR="00D60382" w:rsidRPr="005451A6">
        <w:rPr>
          <w:snapToGrid w:val="0"/>
          <w:lang w:val="fr-FR"/>
        </w:rPr>
        <w:t>État, lequel jouit à cet égard d</w:t>
      </w:r>
      <w:r w:rsidR="005451A6" w:rsidRPr="005451A6">
        <w:rPr>
          <w:snapToGrid w:val="0"/>
          <w:lang w:val="fr-FR"/>
        </w:rPr>
        <w:t>’</w:t>
      </w:r>
      <w:r w:rsidR="00D60382" w:rsidRPr="005451A6">
        <w:rPr>
          <w:snapToGrid w:val="0"/>
          <w:lang w:val="fr-FR"/>
        </w:rPr>
        <w:t>une certaine marge d</w:t>
      </w:r>
      <w:r w:rsidR="005451A6" w:rsidRPr="005451A6">
        <w:rPr>
          <w:snapToGrid w:val="0"/>
          <w:lang w:val="fr-FR"/>
        </w:rPr>
        <w:t>’</w:t>
      </w:r>
      <w:r w:rsidR="00D60382" w:rsidRPr="005451A6">
        <w:rPr>
          <w:snapToGrid w:val="0"/>
          <w:lang w:val="fr-FR"/>
        </w:rPr>
        <w:t xml:space="preserve">appréciation </w:t>
      </w:r>
      <w:r w:rsidR="00BC585C" w:rsidRPr="005451A6">
        <w:rPr>
          <w:lang w:val="fr-FR"/>
        </w:rPr>
        <w:t>(</w:t>
      </w:r>
      <w:r w:rsidR="00BC585C" w:rsidRPr="005451A6">
        <w:rPr>
          <w:i/>
          <w:lang w:val="fr-FR"/>
        </w:rPr>
        <w:t>García Manibardo c. Espagne</w:t>
      </w:r>
      <w:r w:rsidR="00BC585C" w:rsidRPr="005451A6">
        <w:rPr>
          <w:lang w:val="fr-FR"/>
        </w:rPr>
        <w:t xml:space="preserve">, </w:t>
      </w:r>
      <w:r w:rsidRPr="005451A6">
        <w:rPr>
          <w:lang w:val="fr-FR"/>
        </w:rPr>
        <w:t>précité,</w:t>
      </w:r>
      <w:r w:rsidR="00BC585C" w:rsidRPr="005451A6">
        <w:rPr>
          <w:lang w:val="fr-FR"/>
        </w:rPr>
        <w:t xml:space="preserve"> § 36, et </w:t>
      </w:r>
      <w:r w:rsidR="00BC585C" w:rsidRPr="005451A6">
        <w:rPr>
          <w:i/>
          <w:lang w:val="fr-FR"/>
        </w:rPr>
        <w:t>Mortier c. France</w:t>
      </w:r>
      <w:r w:rsidR="00BC585C" w:rsidRPr="005451A6">
        <w:rPr>
          <w:lang w:val="fr-FR"/>
        </w:rPr>
        <w:t>, n</w:t>
      </w:r>
      <w:r w:rsidR="00BC585C" w:rsidRPr="005451A6">
        <w:rPr>
          <w:vertAlign w:val="superscript"/>
          <w:lang w:val="fr-FR"/>
        </w:rPr>
        <w:t>o</w:t>
      </w:r>
      <w:r w:rsidR="000A348F" w:rsidRPr="005451A6">
        <w:rPr>
          <w:vertAlign w:val="superscript"/>
          <w:lang w:val="fr-FR"/>
        </w:rPr>
        <w:t> </w:t>
      </w:r>
      <w:r w:rsidR="00BC585C" w:rsidRPr="005451A6">
        <w:rPr>
          <w:lang w:val="fr-FR"/>
        </w:rPr>
        <w:t xml:space="preserve">42195/98, § 33, 31 juillet 2001). </w:t>
      </w:r>
      <w:r w:rsidR="00D60382" w:rsidRPr="005451A6">
        <w:rPr>
          <w:snapToGrid w:val="0"/>
          <w:lang w:val="fr-FR"/>
        </w:rPr>
        <w:t>Néanmoins, les limitations appliquées ne doivent pas restreindre l</w:t>
      </w:r>
      <w:r w:rsidR="005451A6" w:rsidRPr="005451A6">
        <w:rPr>
          <w:snapToGrid w:val="0"/>
          <w:lang w:val="fr-FR"/>
        </w:rPr>
        <w:t>’</w:t>
      </w:r>
      <w:r w:rsidR="00D60382" w:rsidRPr="005451A6">
        <w:rPr>
          <w:snapToGrid w:val="0"/>
          <w:lang w:val="fr-FR"/>
        </w:rPr>
        <w:t>accès ouvert à l</w:t>
      </w:r>
      <w:r w:rsidR="005451A6" w:rsidRPr="005451A6">
        <w:rPr>
          <w:snapToGrid w:val="0"/>
          <w:lang w:val="fr-FR"/>
        </w:rPr>
        <w:t>’</w:t>
      </w:r>
      <w:r w:rsidR="00D60382" w:rsidRPr="005451A6">
        <w:rPr>
          <w:snapToGrid w:val="0"/>
          <w:lang w:val="fr-FR"/>
        </w:rPr>
        <w:t>individu d</w:t>
      </w:r>
      <w:r w:rsidR="005451A6" w:rsidRPr="005451A6">
        <w:rPr>
          <w:snapToGrid w:val="0"/>
          <w:lang w:val="fr-FR"/>
        </w:rPr>
        <w:t>’</w:t>
      </w:r>
      <w:r w:rsidR="00D60382" w:rsidRPr="005451A6">
        <w:rPr>
          <w:snapToGrid w:val="0"/>
          <w:lang w:val="fr-FR"/>
        </w:rPr>
        <w:t>une manière ou à un point tel que le droit s</w:t>
      </w:r>
      <w:r w:rsidR="005451A6" w:rsidRPr="005451A6">
        <w:rPr>
          <w:snapToGrid w:val="0"/>
          <w:lang w:val="fr-FR"/>
        </w:rPr>
        <w:t>’</w:t>
      </w:r>
      <w:r w:rsidR="00D60382" w:rsidRPr="005451A6">
        <w:rPr>
          <w:snapToGrid w:val="0"/>
          <w:lang w:val="fr-FR"/>
        </w:rPr>
        <w:t>en trouve atteint dans sa substance même. En outre, elles ne se concilient avec l</w:t>
      </w:r>
      <w:r w:rsidR="005451A6" w:rsidRPr="005451A6">
        <w:rPr>
          <w:snapToGrid w:val="0"/>
          <w:lang w:val="fr-FR"/>
        </w:rPr>
        <w:t>’</w:t>
      </w:r>
      <w:r w:rsidR="00D60382" w:rsidRPr="005451A6">
        <w:rPr>
          <w:snapToGrid w:val="0"/>
          <w:lang w:val="fr-FR"/>
        </w:rPr>
        <w:t>article 6 § 1 que si elles poursuivent un but légitime et s</w:t>
      </w:r>
      <w:r w:rsidR="005451A6" w:rsidRPr="005451A6">
        <w:rPr>
          <w:snapToGrid w:val="0"/>
          <w:lang w:val="fr-FR"/>
        </w:rPr>
        <w:t>’</w:t>
      </w:r>
      <w:r w:rsidR="00D60382" w:rsidRPr="005451A6">
        <w:rPr>
          <w:snapToGrid w:val="0"/>
          <w:lang w:val="fr-FR"/>
        </w:rPr>
        <w:t>il existe un rapport raisonnable de proportionnalité entre les moyens employés et le but visé (voir l</w:t>
      </w:r>
      <w:r w:rsidR="005451A6" w:rsidRPr="005451A6">
        <w:rPr>
          <w:snapToGrid w:val="0"/>
          <w:lang w:val="fr-FR"/>
        </w:rPr>
        <w:t>’</w:t>
      </w:r>
      <w:r w:rsidR="00D60382" w:rsidRPr="005451A6">
        <w:rPr>
          <w:snapToGrid w:val="0"/>
          <w:lang w:val="fr-FR"/>
        </w:rPr>
        <w:t xml:space="preserve">arrêt </w:t>
      </w:r>
      <w:r w:rsidR="00D60382" w:rsidRPr="005451A6">
        <w:rPr>
          <w:i/>
          <w:snapToGrid w:val="0"/>
          <w:lang w:val="fr-FR"/>
        </w:rPr>
        <w:t>Guérin c. France</w:t>
      </w:r>
      <w:r w:rsidR="00D60382" w:rsidRPr="005451A6">
        <w:rPr>
          <w:snapToGrid w:val="0"/>
          <w:lang w:val="fr-FR"/>
        </w:rPr>
        <w:t xml:space="preserve"> du 29</w:t>
      </w:r>
      <w:r w:rsidR="000A4EF5" w:rsidRPr="005451A6">
        <w:rPr>
          <w:snapToGrid w:val="0"/>
          <w:lang w:val="fr-FR"/>
        </w:rPr>
        <w:t> </w:t>
      </w:r>
      <w:r w:rsidR="00D60382" w:rsidRPr="005451A6">
        <w:rPr>
          <w:snapToGrid w:val="0"/>
          <w:lang w:val="fr-FR"/>
        </w:rPr>
        <w:t>juillet</w:t>
      </w:r>
      <w:r w:rsidR="00CA3D1A" w:rsidRPr="005451A6">
        <w:rPr>
          <w:snapToGrid w:val="0"/>
          <w:lang w:val="fr-FR"/>
        </w:rPr>
        <w:t xml:space="preserve"> </w:t>
      </w:r>
      <w:r w:rsidR="00D60382" w:rsidRPr="005451A6">
        <w:rPr>
          <w:snapToGrid w:val="0"/>
          <w:lang w:val="fr-FR"/>
        </w:rPr>
        <w:t>1998, Recueil 1998-V, § 37).</w:t>
      </w:r>
    </w:p>
    <w:p w:rsidR="00A07612" w:rsidRPr="005451A6" w:rsidRDefault="00A07612" w:rsidP="005451A6">
      <w:pPr>
        <w:pStyle w:val="ECHRPara"/>
        <w:rPr>
          <w:lang w:val="fr-FR"/>
        </w:rPr>
      </w:pPr>
      <w:r w:rsidRPr="005451A6">
        <w:rPr>
          <w:snapToGrid w:val="0"/>
          <w:lang w:val="fr-FR"/>
        </w:rPr>
        <w:fldChar w:fldCharType="begin"/>
      </w:r>
      <w:r w:rsidRPr="005451A6">
        <w:rPr>
          <w:snapToGrid w:val="0"/>
          <w:lang w:val="fr-FR"/>
        </w:rPr>
        <w:instrText xml:space="preserve"> SEQ level0 \*arabic </w:instrText>
      </w:r>
      <w:r w:rsidRPr="005451A6">
        <w:rPr>
          <w:snapToGrid w:val="0"/>
          <w:lang w:val="fr-FR"/>
        </w:rPr>
        <w:fldChar w:fldCharType="separate"/>
      </w:r>
      <w:r w:rsidR="005451A6" w:rsidRPr="005451A6">
        <w:rPr>
          <w:noProof/>
          <w:snapToGrid w:val="0"/>
          <w:lang w:val="fr-FR"/>
        </w:rPr>
        <w:t>34</w:t>
      </w:r>
      <w:r w:rsidRPr="005451A6">
        <w:rPr>
          <w:snapToGrid w:val="0"/>
          <w:lang w:val="fr-FR"/>
        </w:rPr>
        <w:fldChar w:fldCharType="end"/>
      </w:r>
      <w:r w:rsidRPr="005451A6">
        <w:rPr>
          <w:snapToGrid w:val="0"/>
          <w:lang w:val="fr-FR"/>
        </w:rPr>
        <w:t>.  L</w:t>
      </w:r>
      <w:r w:rsidRPr="005451A6">
        <w:rPr>
          <w:lang w:val="fr-FR"/>
        </w:rPr>
        <w:t>a compatibilité des limitations prévues par le droit interne avec le droit d</w:t>
      </w:r>
      <w:r w:rsidR="005451A6" w:rsidRPr="005451A6">
        <w:rPr>
          <w:lang w:val="fr-FR"/>
        </w:rPr>
        <w:t>’</w:t>
      </w:r>
      <w:r w:rsidRPr="005451A6">
        <w:rPr>
          <w:lang w:val="fr-FR"/>
        </w:rPr>
        <w:t>accès à un tribunal reconnu par l</w:t>
      </w:r>
      <w:r w:rsidR="005451A6" w:rsidRPr="005451A6">
        <w:rPr>
          <w:lang w:val="fr-FR"/>
        </w:rPr>
        <w:t>’</w:t>
      </w:r>
      <w:r w:rsidRPr="005451A6">
        <w:rPr>
          <w:lang w:val="fr-FR"/>
        </w:rPr>
        <w:t>article 6 § 1 dépend des particularités de la procédure en cause</w:t>
      </w:r>
      <w:r w:rsidR="00E76E51" w:rsidRPr="005451A6">
        <w:rPr>
          <w:lang w:val="fr-FR"/>
        </w:rPr>
        <w:t>.</w:t>
      </w:r>
      <w:r w:rsidRPr="005451A6">
        <w:rPr>
          <w:lang w:val="fr-FR"/>
        </w:rPr>
        <w:t xml:space="preserve"> </w:t>
      </w:r>
      <w:r w:rsidR="00E76E51" w:rsidRPr="005451A6">
        <w:rPr>
          <w:lang w:val="fr-FR"/>
        </w:rPr>
        <w:t>I</w:t>
      </w:r>
      <w:r w:rsidRPr="005451A6">
        <w:rPr>
          <w:lang w:val="fr-FR"/>
        </w:rPr>
        <w:t>l faut prendre en compte l</w:t>
      </w:r>
      <w:r w:rsidR="005451A6" w:rsidRPr="005451A6">
        <w:rPr>
          <w:lang w:val="fr-FR"/>
        </w:rPr>
        <w:t>’</w:t>
      </w:r>
      <w:r w:rsidRPr="005451A6">
        <w:rPr>
          <w:lang w:val="fr-FR"/>
        </w:rPr>
        <w:t>ensemble du procès mené dans l</w:t>
      </w:r>
      <w:r w:rsidR="005451A6" w:rsidRPr="005451A6">
        <w:rPr>
          <w:lang w:val="fr-FR"/>
        </w:rPr>
        <w:t>’</w:t>
      </w:r>
      <w:r w:rsidRPr="005451A6">
        <w:rPr>
          <w:lang w:val="fr-FR"/>
        </w:rPr>
        <w:t>ordre juridique interne et le rôle qu</w:t>
      </w:r>
      <w:r w:rsidR="005451A6" w:rsidRPr="005451A6">
        <w:rPr>
          <w:lang w:val="fr-FR"/>
        </w:rPr>
        <w:t>’</w:t>
      </w:r>
      <w:r w:rsidRPr="005451A6">
        <w:rPr>
          <w:lang w:val="fr-FR"/>
        </w:rPr>
        <w:t>y joue la juridiction de cassation, les conditions de recevabilité d</w:t>
      </w:r>
      <w:r w:rsidR="005451A6" w:rsidRPr="005451A6">
        <w:rPr>
          <w:lang w:val="fr-FR"/>
        </w:rPr>
        <w:t>’</w:t>
      </w:r>
      <w:r w:rsidRPr="005451A6">
        <w:rPr>
          <w:lang w:val="fr-FR"/>
        </w:rPr>
        <w:t xml:space="preserve">un pourvoi en cassation pouvant être plus rigoureuses que pour un appel (voir, entre autres, </w:t>
      </w:r>
      <w:r w:rsidRPr="005451A6">
        <w:rPr>
          <w:i/>
          <w:lang w:val="fr-FR"/>
        </w:rPr>
        <w:t>Khalfaoui c. France</w:t>
      </w:r>
      <w:r w:rsidRPr="005451A6">
        <w:rPr>
          <w:lang w:val="fr-FR"/>
        </w:rPr>
        <w:t>, n</w:t>
      </w:r>
      <w:r w:rsidRPr="005451A6">
        <w:rPr>
          <w:vertAlign w:val="superscript"/>
          <w:lang w:val="fr-FR"/>
        </w:rPr>
        <w:t>o</w:t>
      </w:r>
      <w:r w:rsidRPr="005451A6">
        <w:rPr>
          <w:lang w:val="fr-FR"/>
        </w:rPr>
        <w:t xml:space="preserve"> 34791/97, § 37, CEDH 1999-IX, et </w:t>
      </w:r>
      <w:r w:rsidRPr="005451A6">
        <w:rPr>
          <w:i/>
          <w:lang w:val="fr-FR"/>
        </w:rPr>
        <w:t>Běleš et autres c. République tchèque</w:t>
      </w:r>
      <w:r w:rsidRPr="005451A6">
        <w:rPr>
          <w:lang w:val="fr-FR"/>
        </w:rPr>
        <w:t>, n</w:t>
      </w:r>
      <w:r w:rsidRPr="005451A6">
        <w:rPr>
          <w:vertAlign w:val="superscript"/>
          <w:lang w:val="fr-FR"/>
        </w:rPr>
        <w:t>o</w:t>
      </w:r>
      <w:r w:rsidRPr="005451A6">
        <w:rPr>
          <w:lang w:val="fr-FR"/>
        </w:rPr>
        <w:t xml:space="preserve"> 47273/99, § 62, 12 novembre 2002).</w:t>
      </w:r>
    </w:p>
    <w:p w:rsidR="003C628F" w:rsidRPr="005451A6" w:rsidRDefault="00C229F5" w:rsidP="005451A6">
      <w:pPr>
        <w:pStyle w:val="ECHRPara"/>
        <w:rPr>
          <w:i/>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35</w:t>
      </w:r>
      <w:r w:rsidRPr="005451A6">
        <w:rPr>
          <w:lang w:val="fr-FR"/>
        </w:rPr>
        <w:fldChar w:fldCharType="end"/>
      </w:r>
      <w:r w:rsidRPr="005451A6">
        <w:rPr>
          <w:lang w:val="fr-FR"/>
        </w:rPr>
        <w:t>.  La Cour rappelle que sa</w:t>
      </w:r>
      <w:r w:rsidR="003C628F" w:rsidRPr="005451A6">
        <w:rPr>
          <w:lang w:val="fr-FR"/>
        </w:rPr>
        <w:t xml:space="preserve"> tâche consiste à vérifier si le rejet pour irrecevabilité du pourvoi en cassation </w:t>
      </w:r>
      <w:r w:rsidR="00F473DE" w:rsidRPr="005451A6">
        <w:rPr>
          <w:lang w:val="fr-FR"/>
        </w:rPr>
        <w:t>n</w:t>
      </w:r>
      <w:r w:rsidR="005451A6" w:rsidRPr="005451A6">
        <w:rPr>
          <w:lang w:val="fr-FR"/>
        </w:rPr>
        <w:t>’</w:t>
      </w:r>
      <w:r w:rsidR="003C628F" w:rsidRPr="005451A6">
        <w:rPr>
          <w:lang w:val="fr-FR"/>
        </w:rPr>
        <w:t>a</w:t>
      </w:r>
      <w:r w:rsidR="00F473DE" w:rsidRPr="005451A6">
        <w:rPr>
          <w:lang w:val="fr-FR"/>
        </w:rPr>
        <w:t xml:space="preserve"> pas</w:t>
      </w:r>
      <w:r w:rsidR="003C628F" w:rsidRPr="005451A6">
        <w:rPr>
          <w:lang w:val="fr-FR"/>
        </w:rPr>
        <w:t xml:space="preserve"> porté atteinte à la substance même du </w:t>
      </w:r>
      <w:r w:rsidR="009903E6" w:rsidRPr="005451A6">
        <w:rPr>
          <w:lang w:val="fr-FR"/>
        </w:rPr>
        <w:t>« </w:t>
      </w:r>
      <w:r w:rsidR="003C628F" w:rsidRPr="005451A6">
        <w:rPr>
          <w:lang w:val="fr-FR"/>
        </w:rPr>
        <w:t>droit</w:t>
      </w:r>
      <w:r w:rsidR="009903E6" w:rsidRPr="005451A6">
        <w:rPr>
          <w:lang w:val="fr-FR"/>
        </w:rPr>
        <w:t> »</w:t>
      </w:r>
      <w:r w:rsidR="003C628F" w:rsidRPr="005451A6">
        <w:rPr>
          <w:lang w:val="fr-FR"/>
        </w:rPr>
        <w:t xml:space="preserve"> du requérant </w:t>
      </w:r>
      <w:r w:rsidR="009903E6" w:rsidRPr="005451A6">
        <w:rPr>
          <w:lang w:val="fr-FR"/>
        </w:rPr>
        <w:t>« </w:t>
      </w:r>
      <w:r w:rsidR="003C628F" w:rsidRPr="005451A6">
        <w:rPr>
          <w:lang w:val="fr-FR"/>
        </w:rPr>
        <w:t>à un tribunal</w:t>
      </w:r>
      <w:r w:rsidR="009903E6" w:rsidRPr="005451A6">
        <w:rPr>
          <w:lang w:val="fr-FR"/>
        </w:rPr>
        <w:t> »</w:t>
      </w:r>
      <w:r w:rsidR="003C628F" w:rsidRPr="005451A6">
        <w:rPr>
          <w:lang w:val="fr-FR"/>
        </w:rPr>
        <w:t xml:space="preserve">. </w:t>
      </w:r>
      <w:r w:rsidR="00177DAD" w:rsidRPr="005451A6">
        <w:rPr>
          <w:lang w:val="fr-FR"/>
        </w:rPr>
        <w:t>Pour ce faire, e</w:t>
      </w:r>
      <w:r w:rsidR="003C628F" w:rsidRPr="005451A6">
        <w:rPr>
          <w:lang w:val="fr-FR"/>
        </w:rPr>
        <w:t>lle recherchera</w:t>
      </w:r>
      <w:r w:rsidR="006234D4" w:rsidRPr="005451A6">
        <w:rPr>
          <w:lang w:val="fr-FR"/>
        </w:rPr>
        <w:t>,</w:t>
      </w:r>
      <w:r w:rsidR="003C628F" w:rsidRPr="005451A6">
        <w:rPr>
          <w:lang w:val="fr-FR"/>
        </w:rPr>
        <w:t xml:space="preserve"> d</w:t>
      </w:r>
      <w:r w:rsidR="005451A6" w:rsidRPr="005451A6">
        <w:rPr>
          <w:lang w:val="fr-FR"/>
        </w:rPr>
        <w:t>’</w:t>
      </w:r>
      <w:r w:rsidR="003C628F" w:rsidRPr="005451A6">
        <w:rPr>
          <w:lang w:val="fr-FR"/>
        </w:rPr>
        <w:t>abord</w:t>
      </w:r>
      <w:r w:rsidR="006234D4" w:rsidRPr="005451A6">
        <w:rPr>
          <w:lang w:val="fr-FR"/>
        </w:rPr>
        <w:t>,</w:t>
      </w:r>
      <w:r w:rsidR="003C628F" w:rsidRPr="005451A6">
        <w:rPr>
          <w:lang w:val="fr-FR"/>
        </w:rPr>
        <w:t xml:space="preserve"> si les </w:t>
      </w:r>
      <w:r w:rsidR="006234D4" w:rsidRPr="005451A6">
        <w:rPr>
          <w:lang w:val="fr-FR"/>
        </w:rPr>
        <w:t>conditions de recevabilité</w:t>
      </w:r>
      <w:r w:rsidR="003C628F" w:rsidRPr="005451A6">
        <w:rPr>
          <w:lang w:val="fr-FR"/>
        </w:rPr>
        <w:t xml:space="preserve"> du pourvoi en cassation </w:t>
      </w:r>
      <w:r w:rsidR="00B90BA0" w:rsidRPr="005451A6">
        <w:rPr>
          <w:lang w:val="fr-FR"/>
        </w:rPr>
        <w:t>poursuiv</w:t>
      </w:r>
      <w:r w:rsidR="00A36E93" w:rsidRPr="005451A6">
        <w:rPr>
          <w:lang w:val="fr-FR"/>
        </w:rPr>
        <w:t>aie</w:t>
      </w:r>
      <w:r w:rsidR="00B90BA0" w:rsidRPr="005451A6">
        <w:rPr>
          <w:lang w:val="fr-FR"/>
        </w:rPr>
        <w:t>nt un but légitime</w:t>
      </w:r>
      <w:r w:rsidR="009903E6" w:rsidRPr="005451A6">
        <w:rPr>
          <w:lang w:val="fr-FR"/>
        </w:rPr>
        <w:t xml:space="preserve">, </w:t>
      </w:r>
      <w:r w:rsidR="00634D61" w:rsidRPr="005451A6">
        <w:rPr>
          <w:lang w:val="fr-FR"/>
        </w:rPr>
        <w:t>se pench</w:t>
      </w:r>
      <w:r w:rsidR="009903E6" w:rsidRPr="005451A6">
        <w:rPr>
          <w:lang w:val="fr-FR"/>
        </w:rPr>
        <w:t>ant ensuite</w:t>
      </w:r>
      <w:r w:rsidR="00634D61" w:rsidRPr="005451A6">
        <w:rPr>
          <w:lang w:val="fr-FR"/>
        </w:rPr>
        <w:t xml:space="preserve"> sur la proportion</w:t>
      </w:r>
      <w:r w:rsidR="00177DAD" w:rsidRPr="005451A6">
        <w:rPr>
          <w:lang w:val="fr-FR"/>
        </w:rPr>
        <w:t>nalité de la limitation imposée</w:t>
      </w:r>
      <w:r w:rsidR="00D87B40" w:rsidRPr="005451A6">
        <w:rPr>
          <w:lang w:val="fr-FR"/>
        </w:rPr>
        <w:t xml:space="preserve"> (voir, parmi beaucoup d</w:t>
      </w:r>
      <w:r w:rsidR="005451A6" w:rsidRPr="005451A6">
        <w:rPr>
          <w:lang w:val="fr-FR"/>
        </w:rPr>
        <w:t>’</w:t>
      </w:r>
      <w:r w:rsidR="00D87B40" w:rsidRPr="005451A6">
        <w:rPr>
          <w:lang w:val="fr-FR"/>
        </w:rPr>
        <w:t xml:space="preserve">autres, </w:t>
      </w:r>
      <w:r w:rsidR="00D87B40" w:rsidRPr="005451A6">
        <w:rPr>
          <w:i/>
          <w:lang w:val="fr-FR"/>
        </w:rPr>
        <w:t>Brualla Gómez de la Torre c. Espagne</w:t>
      </w:r>
      <w:r w:rsidR="00D87B40" w:rsidRPr="005451A6">
        <w:rPr>
          <w:lang w:val="fr-FR"/>
        </w:rPr>
        <w:t xml:space="preserve">, 19 décembre 1997, § 33, </w:t>
      </w:r>
      <w:r w:rsidR="00D87B40" w:rsidRPr="005451A6">
        <w:rPr>
          <w:i/>
          <w:lang w:val="fr-FR"/>
        </w:rPr>
        <w:t>Recueil des arrêts et décisions</w:t>
      </w:r>
      <w:r w:rsidR="00D87B40" w:rsidRPr="005451A6">
        <w:rPr>
          <w:lang w:val="fr-FR"/>
        </w:rPr>
        <w:t xml:space="preserve"> 1997</w:t>
      </w:r>
      <w:r w:rsidR="00D87B40" w:rsidRPr="005451A6">
        <w:rPr>
          <w:lang w:val="fr-FR"/>
        </w:rPr>
        <w:noBreakHyphen/>
        <w:t>VIII</w:t>
      </w:r>
      <w:r w:rsidR="00A07612" w:rsidRPr="005451A6">
        <w:rPr>
          <w:lang w:val="fr-FR"/>
        </w:rPr>
        <w:t xml:space="preserve">, et </w:t>
      </w:r>
      <w:r w:rsidR="00A07612" w:rsidRPr="005451A6">
        <w:rPr>
          <w:i/>
          <w:lang w:val="fr-FR"/>
        </w:rPr>
        <w:t>Papaioannou c. Grèce</w:t>
      </w:r>
      <w:r w:rsidR="00A07612" w:rsidRPr="005451A6">
        <w:rPr>
          <w:lang w:val="fr-FR"/>
        </w:rPr>
        <w:t>, n</w:t>
      </w:r>
      <w:r w:rsidR="00A07612" w:rsidRPr="005451A6">
        <w:rPr>
          <w:vertAlign w:val="superscript"/>
          <w:lang w:val="fr-FR"/>
        </w:rPr>
        <w:t>o</w:t>
      </w:r>
      <w:r w:rsidR="000A4EF5" w:rsidRPr="005451A6">
        <w:rPr>
          <w:lang w:val="fr-FR"/>
        </w:rPr>
        <w:t> </w:t>
      </w:r>
      <w:r w:rsidR="00A07612" w:rsidRPr="005451A6">
        <w:rPr>
          <w:lang w:val="fr-FR"/>
        </w:rPr>
        <w:t>18880/15</w:t>
      </w:r>
      <w:r w:rsidR="00F62080" w:rsidRPr="005451A6">
        <w:rPr>
          <w:snapToGrid w:val="0"/>
          <w:lang w:val="fr-FR"/>
        </w:rPr>
        <w:t>, § </w:t>
      </w:r>
      <w:r w:rsidR="00CA3D1A" w:rsidRPr="005451A6">
        <w:rPr>
          <w:snapToGrid w:val="0"/>
          <w:lang w:val="fr-FR"/>
        </w:rPr>
        <w:t>49, 2 </w:t>
      </w:r>
      <w:r w:rsidR="00A07612" w:rsidRPr="005451A6">
        <w:rPr>
          <w:lang w:val="fr-FR"/>
        </w:rPr>
        <w:t>juin</w:t>
      </w:r>
      <w:r w:rsidR="00A07612" w:rsidRPr="005451A6">
        <w:rPr>
          <w:snapToGrid w:val="0"/>
          <w:lang w:val="fr-FR"/>
        </w:rPr>
        <w:t xml:space="preserve"> 2016</w:t>
      </w:r>
      <w:r w:rsidR="00D87B40" w:rsidRPr="005451A6">
        <w:rPr>
          <w:lang w:val="fr-FR"/>
        </w:rPr>
        <w:t>)</w:t>
      </w:r>
      <w:r w:rsidR="00634D61" w:rsidRPr="005451A6">
        <w:rPr>
          <w:lang w:val="fr-FR"/>
        </w:rPr>
        <w:t>.</w:t>
      </w:r>
    </w:p>
    <w:p w:rsidR="002A099C" w:rsidRPr="005451A6" w:rsidRDefault="009903E6"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36</w:t>
      </w:r>
      <w:r w:rsidRPr="005451A6">
        <w:rPr>
          <w:lang w:val="fr-FR"/>
        </w:rPr>
        <w:fldChar w:fldCharType="end"/>
      </w:r>
      <w:r w:rsidRPr="005451A6">
        <w:rPr>
          <w:lang w:val="fr-FR"/>
        </w:rPr>
        <w:t>.  </w:t>
      </w:r>
      <w:r w:rsidR="00534918" w:rsidRPr="005451A6">
        <w:rPr>
          <w:lang w:val="fr-FR"/>
        </w:rPr>
        <w:t xml:space="preserve">En </w:t>
      </w:r>
      <w:r w:rsidR="007C5818" w:rsidRPr="005451A6">
        <w:rPr>
          <w:lang w:val="fr-FR"/>
        </w:rPr>
        <w:t xml:space="preserve">ce qui concerne la finalité de </w:t>
      </w:r>
      <w:r w:rsidR="00960B4B" w:rsidRPr="005451A6">
        <w:rPr>
          <w:lang w:val="fr-FR"/>
        </w:rPr>
        <w:t>cette disposition</w:t>
      </w:r>
      <w:r w:rsidR="007C5818" w:rsidRPr="005451A6">
        <w:rPr>
          <w:lang w:val="fr-FR"/>
        </w:rPr>
        <w:t xml:space="preserve">, </w:t>
      </w:r>
      <w:r w:rsidR="00D01BAC" w:rsidRPr="005451A6">
        <w:rPr>
          <w:lang w:val="fr-FR"/>
        </w:rPr>
        <w:t>la Cour prend note de</w:t>
      </w:r>
      <w:r w:rsidR="00A07E9F" w:rsidRPr="005451A6">
        <w:rPr>
          <w:lang w:val="fr-FR"/>
        </w:rPr>
        <w:t xml:space="preserve"> la</w:t>
      </w:r>
      <w:r w:rsidR="007C5818" w:rsidRPr="005451A6">
        <w:rPr>
          <w:lang w:val="fr-FR"/>
        </w:rPr>
        <w:t xml:space="preserve"> jurisprudence de</w:t>
      </w:r>
      <w:r w:rsidR="00471465" w:rsidRPr="005451A6">
        <w:rPr>
          <w:lang w:val="fr-FR"/>
        </w:rPr>
        <w:t xml:space="preserve"> </w:t>
      </w:r>
      <w:r w:rsidR="00534918" w:rsidRPr="005451A6">
        <w:rPr>
          <w:lang w:val="fr-FR"/>
        </w:rPr>
        <w:t>la Cour de cassation</w:t>
      </w:r>
      <w:r w:rsidR="00F04AA1" w:rsidRPr="005451A6">
        <w:rPr>
          <w:lang w:val="fr-FR"/>
        </w:rPr>
        <w:t xml:space="preserve"> </w:t>
      </w:r>
      <w:r w:rsidR="00C229F5" w:rsidRPr="005451A6">
        <w:rPr>
          <w:lang w:val="fr-FR"/>
        </w:rPr>
        <w:t>antérieure au</w:t>
      </w:r>
      <w:r w:rsidR="002A099C" w:rsidRPr="005451A6">
        <w:rPr>
          <w:lang w:val="fr-FR"/>
        </w:rPr>
        <w:t xml:space="preserve"> pourvoi du requérant </w:t>
      </w:r>
      <w:r w:rsidR="00471465" w:rsidRPr="005451A6">
        <w:rPr>
          <w:lang w:val="fr-FR"/>
        </w:rPr>
        <w:t xml:space="preserve">(voir paragraphe </w:t>
      </w:r>
      <w:r w:rsidR="00B07B24" w:rsidRPr="005451A6">
        <w:rPr>
          <w:lang w:val="fr-FR"/>
        </w:rPr>
        <w:t>23</w:t>
      </w:r>
      <w:r w:rsidR="00471465" w:rsidRPr="005451A6">
        <w:rPr>
          <w:lang w:val="fr-FR"/>
        </w:rPr>
        <w:t>)</w:t>
      </w:r>
      <w:r w:rsidR="002A099C" w:rsidRPr="005451A6">
        <w:rPr>
          <w:lang w:val="fr-FR"/>
        </w:rPr>
        <w:t>,</w:t>
      </w:r>
      <w:r w:rsidR="007C5818" w:rsidRPr="005451A6">
        <w:rPr>
          <w:lang w:val="fr-FR"/>
        </w:rPr>
        <w:t xml:space="preserve"> </w:t>
      </w:r>
      <w:r w:rsidR="00D01BAC" w:rsidRPr="005451A6">
        <w:rPr>
          <w:lang w:val="fr-FR"/>
        </w:rPr>
        <w:t>selon laquelle</w:t>
      </w:r>
      <w:r w:rsidR="00B07B24" w:rsidRPr="005451A6">
        <w:rPr>
          <w:lang w:val="fr-FR"/>
        </w:rPr>
        <w:t xml:space="preserve"> </w:t>
      </w:r>
      <w:r w:rsidR="00471465" w:rsidRPr="005451A6">
        <w:rPr>
          <w:lang w:val="fr-FR"/>
        </w:rPr>
        <w:t>l</w:t>
      </w:r>
      <w:r w:rsidR="00177DAD" w:rsidRPr="005451A6">
        <w:rPr>
          <w:lang w:val="fr-FR"/>
        </w:rPr>
        <w:t>a question en droit</w:t>
      </w:r>
      <w:r w:rsidR="00AB14F6" w:rsidRPr="005451A6">
        <w:rPr>
          <w:lang w:val="fr-FR"/>
        </w:rPr>
        <w:t xml:space="preserve"> </w:t>
      </w:r>
      <w:r w:rsidR="00471465" w:rsidRPr="005451A6">
        <w:rPr>
          <w:lang w:val="fr-FR"/>
        </w:rPr>
        <w:t>représent</w:t>
      </w:r>
      <w:r w:rsidR="00B90BA0" w:rsidRPr="005451A6">
        <w:rPr>
          <w:lang w:val="fr-FR"/>
        </w:rPr>
        <w:t>ait</w:t>
      </w:r>
      <w:r w:rsidR="00AB14F6" w:rsidRPr="005451A6">
        <w:rPr>
          <w:lang w:val="fr-FR"/>
        </w:rPr>
        <w:t xml:space="preserve"> le point de jonction entre la solution du cas spécifique et </w:t>
      </w:r>
      <w:r w:rsidR="00471465" w:rsidRPr="005451A6">
        <w:rPr>
          <w:lang w:val="fr-FR"/>
        </w:rPr>
        <w:t>la formulation d</w:t>
      </w:r>
      <w:r w:rsidR="005451A6" w:rsidRPr="005451A6">
        <w:rPr>
          <w:lang w:val="fr-FR"/>
        </w:rPr>
        <w:t>’</w:t>
      </w:r>
      <w:r w:rsidR="00471465" w:rsidRPr="005451A6">
        <w:rPr>
          <w:lang w:val="fr-FR"/>
        </w:rPr>
        <w:t>un principe juridique général</w:t>
      </w:r>
      <w:r w:rsidR="00C62351" w:rsidRPr="005451A6">
        <w:rPr>
          <w:lang w:val="fr-FR"/>
        </w:rPr>
        <w:t xml:space="preserve"> applicable à des cas similaires</w:t>
      </w:r>
      <w:r w:rsidR="00471465" w:rsidRPr="005451A6">
        <w:rPr>
          <w:lang w:val="fr-FR"/>
        </w:rPr>
        <w:t>.</w:t>
      </w:r>
      <w:r w:rsidR="007C5818" w:rsidRPr="005451A6">
        <w:rPr>
          <w:lang w:val="fr-FR"/>
        </w:rPr>
        <w:t xml:space="preserve"> </w:t>
      </w:r>
      <w:r w:rsidR="00A62C8B" w:rsidRPr="005451A6">
        <w:rPr>
          <w:lang w:val="fr-FR"/>
        </w:rPr>
        <w:t>Le</w:t>
      </w:r>
      <w:r w:rsidR="007C5818" w:rsidRPr="005451A6">
        <w:rPr>
          <w:lang w:val="fr-FR"/>
        </w:rPr>
        <w:t xml:space="preserve"> but de cet article </w:t>
      </w:r>
      <w:r w:rsidR="00F473DE" w:rsidRPr="005451A6">
        <w:rPr>
          <w:lang w:val="fr-FR"/>
        </w:rPr>
        <w:t>était</w:t>
      </w:r>
      <w:r w:rsidR="00A62C8B" w:rsidRPr="005451A6">
        <w:rPr>
          <w:lang w:val="fr-FR"/>
        </w:rPr>
        <w:t xml:space="preserve"> donc</w:t>
      </w:r>
      <w:r w:rsidR="007C5818" w:rsidRPr="005451A6">
        <w:rPr>
          <w:lang w:val="fr-FR"/>
        </w:rPr>
        <w:t xml:space="preserve"> </w:t>
      </w:r>
      <w:r w:rsidR="00B07B24" w:rsidRPr="005451A6">
        <w:rPr>
          <w:lang w:val="fr-FR"/>
        </w:rPr>
        <w:t xml:space="preserve">à la fois </w:t>
      </w:r>
      <w:r w:rsidR="007C5818" w:rsidRPr="005451A6">
        <w:rPr>
          <w:lang w:val="fr-FR"/>
        </w:rPr>
        <w:t xml:space="preserve">de </w:t>
      </w:r>
      <w:r w:rsidR="00B07B24" w:rsidRPr="005451A6">
        <w:rPr>
          <w:lang w:val="fr-FR"/>
        </w:rPr>
        <w:t>protéger</w:t>
      </w:r>
      <w:r w:rsidR="007C5818" w:rsidRPr="005451A6">
        <w:rPr>
          <w:lang w:val="fr-FR"/>
        </w:rPr>
        <w:t xml:space="preserve"> l</w:t>
      </w:r>
      <w:r w:rsidR="005451A6" w:rsidRPr="005451A6">
        <w:rPr>
          <w:lang w:val="fr-FR"/>
        </w:rPr>
        <w:t>’</w:t>
      </w:r>
      <w:r w:rsidR="007C5818" w:rsidRPr="005451A6">
        <w:rPr>
          <w:lang w:val="fr-FR"/>
        </w:rPr>
        <w:t xml:space="preserve">intérêt de la partie à </w:t>
      </w:r>
      <w:r w:rsidR="008E16BC" w:rsidRPr="005451A6">
        <w:rPr>
          <w:lang w:val="fr-FR"/>
        </w:rPr>
        <w:t>obtenir, le cas échéant, la réforme de la décision attaquée</w:t>
      </w:r>
      <w:r w:rsidR="007C5818" w:rsidRPr="005451A6">
        <w:rPr>
          <w:lang w:val="fr-FR"/>
        </w:rPr>
        <w:t xml:space="preserve"> et</w:t>
      </w:r>
      <w:r w:rsidR="00B07B24" w:rsidRPr="005451A6">
        <w:rPr>
          <w:lang w:val="fr-FR"/>
        </w:rPr>
        <w:t xml:space="preserve"> de préserver</w:t>
      </w:r>
      <w:r w:rsidR="007C5818" w:rsidRPr="005451A6">
        <w:rPr>
          <w:lang w:val="fr-FR"/>
        </w:rPr>
        <w:t xml:space="preserve"> l</w:t>
      </w:r>
      <w:r w:rsidR="00D01BAC" w:rsidRPr="005451A6">
        <w:rPr>
          <w:lang w:val="fr-FR"/>
        </w:rPr>
        <w:t>a fonction de</w:t>
      </w:r>
      <w:r w:rsidR="007C5818" w:rsidRPr="005451A6">
        <w:rPr>
          <w:lang w:val="fr-FR"/>
        </w:rPr>
        <w:t xml:space="preserve"> la Cour de cassation </w:t>
      </w:r>
      <w:r w:rsidR="00D01BAC" w:rsidRPr="005451A6">
        <w:rPr>
          <w:lang w:val="fr-FR"/>
        </w:rPr>
        <w:t>dans son rôle de juge de</w:t>
      </w:r>
      <w:r w:rsidR="00B07B24" w:rsidRPr="005451A6">
        <w:rPr>
          <w:lang w:val="fr-FR"/>
        </w:rPr>
        <w:t xml:space="preserve"> l</w:t>
      </w:r>
      <w:r w:rsidR="005451A6" w:rsidRPr="005451A6">
        <w:rPr>
          <w:lang w:val="fr-FR"/>
        </w:rPr>
        <w:t>’</w:t>
      </w:r>
      <w:r w:rsidR="007C5818" w:rsidRPr="005451A6">
        <w:rPr>
          <w:lang w:val="fr-FR"/>
        </w:rPr>
        <w:t>interprétation uniforme de la loi.</w:t>
      </w:r>
    </w:p>
    <w:p w:rsidR="00DE37F2" w:rsidRPr="005451A6" w:rsidRDefault="00A62C8B" w:rsidP="005451A6">
      <w:pPr>
        <w:pStyle w:val="ECHRPara"/>
        <w:rPr>
          <w:lang w:val="fr-FR"/>
        </w:rPr>
      </w:pPr>
      <w:r w:rsidRPr="005451A6">
        <w:rPr>
          <w:lang w:val="fr-FR"/>
        </w:rPr>
        <w:lastRenderedPageBreak/>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37</w:t>
      </w:r>
      <w:r w:rsidRPr="005451A6">
        <w:rPr>
          <w:lang w:val="fr-FR"/>
        </w:rPr>
        <w:fldChar w:fldCharType="end"/>
      </w:r>
      <w:r w:rsidRPr="005451A6">
        <w:rPr>
          <w:lang w:val="fr-FR"/>
        </w:rPr>
        <w:t>.  </w:t>
      </w:r>
      <w:r w:rsidR="00DE37F2" w:rsidRPr="005451A6">
        <w:rPr>
          <w:lang w:val="fr-FR"/>
        </w:rPr>
        <w:t xml:space="preserve">Par conséquent, la Cour estime que </w:t>
      </w:r>
      <w:r w:rsidR="0034642C" w:rsidRPr="005451A6">
        <w:rPr>
          <w:lang w:val="fr-FR"/>
        </w:rPr>
        <w:t xml:space="preserve">la limitation imposée par </w:t>
      </w:r>
      <w:r w:rsidR="008E16BC" w:rsidRPr="005451A6">
        <w:rPr>
          <w:lang w:val="fr-FR"/>
        </w:rPr>
        <w:t>l</w:t>
      </w:r>
      <w:r w:rsidR="005451A6" w:rsidRPr="005451A6">
        <w:rPr>
          <w:lang w:val="fr-FR"/>
        </w:rPr>
        <w:t>’</w:t>
      </w:r>
      <w:r w:rsidR="008E16BC" w:rsidRPr="005451A6">
        <w:rPr>
          <w:lang w:val="fr-FR"/>
        </w:rPr>
        <w:t>article</w:t>
      </w:r>
      <w:r w:rsidR="000A4EF5" w:rsidRPr="005451A6">
        <w:rPr>
          <w:lang w:val="fr-FR"/>
        </w:rPr>
        <w:t> </w:t>
      </w:r>
      <w:r w:rsidR="008E16BC" w:rsidRPr="005451A6">
        <w:rPr>
          <w:lang w:val="fr-FR"/>
        </w:rPr>
        <w:t>366</w:t>
      </w:r>
      <w:r w:rsidR="008E16BC" w:rsidRPr="005451A6">
        <w:rPr>
          <w:i/>
          <w:lang w:val="fr-FR"/>
        </w:rPr>
        <w:t>bis</w:t>
      </w:r>
      <w:r w:rsidR="008E16BC" w:rsidRPr="005451A6">
        <w:rPr>
          <w:lang w:val="fr-FR"/>
        </w:rPr>
        <w:t xml:space="preserve"> CPC</w:t>
      </w:r>
      <w:r w:rsidR="0034642C" w:rsidRPr="005451A6">
        <w:rPr>
          <w:lang w:val="fr-FR"/>
        </w:rPr>
        <w:t xml:space="preserve"> poursui</w:t>
      </w:r>
      <w:r w:rsidR="00310FF8" w:rsidRPr="005451A6">
        <w:rPr>
          <w:lang w:val="fr-FR"/>
        </w:rPr>
        <w:t>vait</w:t>
      </w:r>
      <w:r w:rsidR="0034642C" w:rsidRPr="005451A6">
        <w:rPr>
          <w:lang w:val="fr-FR"/>
        </w:rPr>
        <w:t xml:space="preserve"> un but légitime</w:t>
      </w:r>
      <w:r w:rsidR="00960B4B" w:rsidRPr="005451A6">
        <w:rPr>
          <w:lang w:val="fr-FR"/>
        </w:rPr>
        <w:t xml:space="preserve">, </w:t>
      </w:r>
      <w:r w:rsidR="00920C61" w:rsidRPr="005451A6">
        <w:rPr>
          <w:lang w:val="fr-FR"/>
        </w:rPr>
        <w:t xml:space="preserve">en obéissant tout à la fois </w:t>
      </w:r>
      <w:r w:rsidR="00960B4B" w:rsidRPr="005451A6">
        <w:rPr>
          <w:lang w:val="fr-FR"/>
        </w:rPr>
        <w:t xml:space="preserve">aux exigences de la sécurité juridique et de la bonne administration de la justice </w:t>
      </w:r>
      <w:r w:rsidR="00DE37F2" w:rsidRPr="005451A6">
        <w:rPr>
          <w:lang w:val="fr-FR"/>
        </w:rPr>
        <w:t>(</w:t>
      </w:r>
      <w:r w:rsidR="000A348F" w:rsidRPr="005451A6">
        <w:rPr>
          <w:i/>
          <w:lang w:val="fr-FR"/>
        </w:rPr>
        <w:t>Kemp et autres c. Luxembourg</w:t>
      </w:r>
      <w:r w:rsidR="000A348F" w:rsidRPr="005451A6">
        <w:rPr>
          <w:lang w:val="fr-FR"/>
        </w:rPr>
        <w:t>, n</w:t>
      </w:r>
      <w:r w:rsidR="000A348F" w:rsidRPr="005451A6">
        <w:rPr>
          <w:vertAlign w:val="superscript"/>
          <w:lang w:val="fr-FR"/>
        </w:rPr>
        <w:t>o</w:t>
      </w:r>
      <w:r w:rsidR="000A348F" w:rsidRPr="005451A6">
        <w:rPr>
          <w:lang w:val="fr-FR"/>
        </w:rPr>
        <w:t xml:space="preserve"> 17140/05, § 53, 24</w:t>
      </w:r>
      <w:r w:rsidR="001406C3" w:rsidRPr="005451A6">
        <w:rPr>
          <w:lang w:val="fr-FR"/>
        </w:rPr>
        <w:t xml:space="preserve"> avril </w:t>
      </w:r>
      <w:r w:rsidR="000A348F" w:rsidRPr="005451A6">
        <w:rPr>
          <w:lang w:val="fr-FR"/>
        </w:rPr>
        <w:t>2008</w:t>
      </w:r>
      <w:r w:rsidR="00DE37F2" w:rsidRPr="005451A6">
        <w:rPr>
          <w:lang w:val="fr-FR"/>
        </w:rPr>
        <w:t>).</w:t>
      </w:r>
    </w:p>
    <w:p w:rsidR="008D7A60" w:rsidRPr="005451A6" w:rsidRDefault="00F03F37" w:rsidP="005451A6">
      <w:pPr>
        <w:pStyle w:val="ECHRPara"/>
        <w:keepNext/>
        <w:keepLines/>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38</w:t>
      </w:r>
      <w:r w:rsidRPr="005451A6">
        <w:rPr>
          <w:lang w:val="fr-FR"/>
        </w:rPr>
        <w:fldChar w:fldCharType="end"/>
      </w:r>
      <w:r w:rsidRPr="005451A6">
        <w:rPr>
          <w:lang w:val="fr-FR"/>
        </w:rPr>
        <w:t>.  </w:t>
      </w:r>
      <w:r w:rsidR="0015413C" w:rsidRPr="005451A6">
        <w:rPr>
          <w:lang w:val="fr-FR"/>
        </w:rPr>
        <w:t>Reste à savoir si cette exigence de précision répond</w:t>
      </w:r>
      <w:r w:rsidR="008E16BC" w:rsidRPr="005451A6">
        <w:rPr>
          <w:lang w:val="fr-FR"/>
        </w:rPr>
        <w:t>, en l</w:t>
      </w:r>
      <w:r w:rsidR="005451A6" w:rsidRPr="005451A6">
        <w:rPr>
          <w:lang w:val="fr-FR"/>
        </w:rPr>
        <w:t>’</w:t>
      </w:r>
      <w:r w:rsidR="008E16BC" w:rsidRPr="005451A6">
        <w:rPr>
          <w:lang w:val="fr-FR"/>
        </w:rPr>
        <w:t>espèce</w:t>
      </w:r>
      <w:r w:rsidRPr="005451A6">
        <w:rPr>
          <w:lang w:val="fr-FR"/>
        </w:rPr>
        <w:t>,</w:t>
      </w:r>
      <w:r w:rsidR="0015413C" w:rsidRPr="005451A6">
        <w:rPr>
          <w:lang w:val="fr-FR"/>
        </w:rPr>
        <w:t xml:space="preserve"> à la condition de la proportionnalité entre les moyens employés et le but visé</w:t>
      </w:r>
      <w:r w:rsidR="001F2C1B" w:rsidRPr="005451A6">
        <w:rPr>
          <w:lang w:val="fr-FR"/>
        </w:rPr>
        <w:t xml:space="preserve"> (voir, parmi beaucoup d</w:t>
      </w:r>
      <w:r w:rsidR="005451A6" w:rsidRPr="005451A6">
        <w:rPr>
          <w:lang w:val="fr-FR"/>
        </w:rPr>
        <w:t>’</w:t>
      </w:r>
      <w:r w:rsidR="001F2C1B" w:rsidRPr="005451A6">
        <w:rPr>
          <w:lang w:val="fr-FR"/>
        </w:rPr>
        <w:t xml:space="preserve">autres, </w:t>
      </w:r>
      <w:r w:rsidR="000A4EF5" w:rsidRPr="005451A6">
        <w:rPr>
          <w:i/>
          <w:lang w:val="fr-FR"/>
        </w:rPr>
        <w:t>Edificacione</w:t>
      </w:r>
      <w:r w:rsidR="00CA3D1A" w:rsidRPr="005451A6">
        <w:rPr>
          <w:i/>
          <w:lang w:val="fr-FR"/>
        </w:rPr>
        <w:t xml:space="preserve">s March Gallego </w:t>
      </w:r>
      <w:r w:rsidR="001F2C1B" w:rsidRPr="005451A6">
        <w:rPr>
          <w:i/>
          <w:lang w:val="fr-FR"/>
        </w:rPr>
        <w:t>S.A. c.</w:t>
      </w:r>
      <w:r w:rsidR="000A4EF5" w:rsidRPr="005451A6">
        <w:rPr>
          <w:i/>
          <w:lang w:val="fr-FR"/>
        </w:rPr>
        <w:t> </w:t>
      </w:r>
      <w:r w:rsidR="001F2C1B" w:rsidRPr="005451A6">
        <w:rPr>
          <w:i/>
          <w:lang w:val="fr-FR"/>
        </w:rPr>
        <w:t>Espagne</w:t>
      </w:r>
      <w:r w:rsidR="001F2C1B" w:rsidRPr="005451A6">
        <w:rPr>
          <w:lang w:val="fr-FR"/>
        </w:rPr>
        <w:t xml:space="preserve">, 19 février 1998, § 34, </w:t>
      </w:r>
      <w:r w:rsidR="001F2C1B" w:rsidRPr="005451A6">
        <w:rPr>
          <w:i/>
          <w:lang w:val="fr-FR"/>
        </w:rPr>
        <w:t>Recueil des arrêts et décisions</w:t>
      </w:r>
      <w:r w:rsidR="001F2C1B" w:rsidRPr="005451A6">
        <w:rPr>
          <w:lang w:val="fr-FR"/>
        </w:rPr>
        <w:t xml:space="preserve"> 1998</w:t>
      </w:r>
      <w:r w:rsidR="001F2C1B" w:rsidRPr="005451A6">
        <w:rPr>
          <w:rFonts w:ascii="MS Mincho" w:eastAsia="MS Mincho" w:hAnsi="MS Mincho" w:cs="MS Mincho" w:hint="eastAsia"/>
          <w:lang w:val="fr-FR"/>
        </w:rPr>
        <w:t>‑</w:t>
      </w:r>
      <w:r w:rsidR="001F2C1B" w:rsidRPr="005451A6">
        <w:rPr>
          <w:lang w:val="fr-FR"/>
        </w:rPr>
        <w:t>I).</w:t>
      </w:r>
      <w:r w:rsidR="008D7A60" w:rsidRPr="005451A6">
        <w:rPr>
          <w:lang w:val="fr-FR"/>
        </w:rPr>
        <w:t xml:space="preserve"> En effet, </w:t>
      </w:r>
      <w:r w:rsidR="001F2C1B" w:rsidRPr="005451A6">
        <w:rPr>
          <w:lang w:val="fr-FR"/>
        </w:rPr>
        <w:t>la Cour a déjà conclu à plusieurs reprises qu</w:t>
      </w:r>
      <w:r w:rsidR="005451A6" w:rsidRPr="005451A6">
        <w:rPr>
          <w:lang w:val="fr-FR"/>
        </w:rPr>
        <w:t>’</w:t>
      </w:r>
      <w:r w:rsidR="001F2C1B" w:rsidRPr="005451A6">
        <w:rPr>
          <w:lang w:val="fr-FR"/>
        </w:rPr>
        <w:t>une interprétation par trop formaliste des conditions de forme d</w:t>
      </w:r>
      <w:r w:rsidR="005451A6" w:rsidRPr="005451A6">
        <w:rPr>
          <w:lang w:val="fr-FR"/>
        </w:rPr>
        <w:t>’</w:t>
      </w:r>
      <w:r w:rsidR="001F2C1B" w:rsidRPr="005451A6">
        <w:rPr>
          <w:lang w:val="fr-FR"/>
        </w:rPr>
        <w:t>un recours est susceptible de violer le droit d</w:t>
      </w:r>
      <w:r w:rsidR="005451A6" w:rsidRPr="005451A6">
        <w:rPr>
          <w:lang w:val="fr-FR"/>
        </w:rPr>
        <w:t>’</w:t>
      </w:r>
      <w:r w:rsidR="001F2C1B" w:rsidRPr="005451A6">
        <w:rPr>
          <w:lang w:val="fr-FR"/>
        </w:rPr>
        <w:t>accès à un tribunal (</w:t>
      </w:r>
      <w:r w:rsidR="001F2C1B" w:rsidRPr="005451A6">
        <w:rPr>
          <w:i/>
          <w:lang w:val="fr-FR"/>
        </w:rPr>
        <w:t>Běleš et autres c. République tchèque</w:t>
      </w:r>
      <w:r w:rsidR="001F2C1B" w:rsidRPr="005451A6">
        <w:rPr>
          <w:lang w:val="fr-FR"/>
        </w:rPr>
        <w:t xml:space="preserve">, </w:t>
      </w:r>
      <w:r w:rsidR="00A07612" w:rsidRPr="005451A6">
        <w:rPr>
          <w:lang w:val="fr-FR"/>
        </w:rPr>
        <w:t>précité</w:t>
      </w:r>
      <w:r w:rsidR="001F2C1B" w:rsidRPr="005451A6">
        <w:rPr>
          <w:lang w:val="fr-FR"/>
        </w:rPr>
        <w:t xml:space="preserve">, § 69, </w:t>
      </w:r>
      <w:r w:rsidR="001F2C1B" w:rsidRPr="005451A6">
        <w:rPr>
          <w:i/>
          <w:lang w:val="fr-FR"/>
        </w:rPr>
        <w:t>Zvolský et Zvolská c. République tchèque</w:t>
      </w:r>
      <w:r w:rsidR="001F2C1B" w:rsidRPr="005451A6">
        <w:rPr>
          <w:lang w:val="fr-FR"/>
        </w:rPr>
        <w:t>, n</w:t>
      </w:r>
      <w:r w:rsidR="001F2C1B" w:rsidRPr="005451A6">
        <w:rPr>
          <w:vertAlign w:val="superscript"/>
          <w:lang w:val="fr-FR"/>
        </w:rPr>
        <w:t>o</w:t>
      </w:r>
      <w:r w:rsidR="00CA3D1A" w:rsidRPr="005451A6">
        <w:rPr>
          <w:lang w:val="fr-FR"/>
        </w:rPr>
        <w:t xml:space="preserve"> 46129/99, § 55, CEDH </w:t>
      </w:r>
      <w:r w:rsidR="001F2C1B" w:rsidRPr="005451A6">
        <w:rPr>
          <w:lang w:val="fr-FR"/>
        </w:rPr>
        <w:t>2002</w:t>
      </w:r>
      <w:r w:rsidR="001F2C1B" w:rsidRPr="005451A6">
        <w:rPr>
          <w:lang w:val="fr-FR"/>
        </w:rPr>
        <w:noBreakHyphen/>
        <w:t xml:space="preserve">IX, </w:t>
      </w:r>
      <w:r w:rsidR="001406C3" w:rsidRPr="005451A6">
        <w:rPr>
          <w:lang w:val="fr-FR"/>
        </w:rPr>
        <w:t xml:space="preserve">et </w:t>
      </w:r>
      <w:r w:rsidR="001F2C1B" w:rsidRPr="005451A6">
        <w:rPr>
          <w:i/>
          <w:lang w:val="fr-FR"/>
        </w:rPr>
        <w:t>Viard c. France</w:t>
      </w:r>
      <w:r w:rsidR="001F2C1B" w:rsidRPr="005451A6">
        <w:rPr>
          <w:snapToGrid w:val="0"/>
          <w:lang w:val="fr-FR"/>
        </w:rPr>
        <w:t xml:space="preserve">, </w:t>
      </w:r>
      <w:r w:rsidR="001F2C1B" w:rsidRPr="005451A6">
        <w:rPr>
          <w:lang w:val="fr-FR"/>
        </w:rPr>
        <w:t>n</w:t>
      </w:r>
      <w:r w:rsidR="001F2C1B" w:rsidRPr="005451A6">
        <w:rPr>
          <w:vertAlign w:val="superscript"/>
          <w:lang w:val="fr-FR"/>
        </w:rPr>
        <w:t>o</w:t>
      </w:r>
      <w:r w:rsidR="001F2C1B" w:rsidRPr="005451A6">
        <w:rPr>
          <w:lang w:val="fr-FR"/>
        </w:rPr>
        <w:t xml:space="preserve"> 71658/10</w:t>
      </w:r>
      <w:r w:rsidR="001F2C1B" w:rsidRPr="005451A6">
        <w:rPr>
          <w:snapToGrid w:val="0"/>
          <w:lang w:val="fr-FR"/>
        </w:rPr>
        <w:t>, § 38, 9 </w:t>
      </w:r>
      <w:r w:rsidR="001F2C1B" w:rsidRPr="005451A6">
        <w:rPr>
          <w:lang w:val="fr-FR"/>
        </w:rPr>
        <w:t>janvier</w:t>
      </w:r>
      <w:r w:rsidR="001F2C1B" w:rsidRPr="005451A6">
        <w:rPr>
          <w:snapToGrid w:val="0"/>
          <w:lang w:val="fr-FR"/>
        </w:rPr>
        <w:t xml:space="preserve"> 2014</w:t>
      </w:r>
      <w:r w:rsidR="001F2C1B" w:rsidRPr="005451A6">
        <w:rPr>
          <w:lang w:val="fr-FR"/>
        </w:rPr>
        <w:t>).</w:t>
      </w:r>
      <w:r w:rsidR="001A5ECF" w:rsidRPr="005451A6">
        <w:rPr>
          <w:lang w:val="fr-FR"/>
        </w:rPr>
        <w:t xml:space="preserve"> </w:t>
      </w:r>
      <w:r w:rsidR="008D7A60" w:rsidRPr="005451A6">
        <w:rPr>
          <w:lang w:val="fr-FR"/>
        </w:rPr>
        <w:t>La Cour</w:t>
      </w:r>
      <w:r w:rsidR="00357483" w:rsidRPr="005451A6">
        <w:rPr>
          <w:lang w:val="fr-FR"/>
        </w:rPr>
        <w:t xml:space="preserve"> </w:t>
      </w:r>
      <w:r w:rsidR="0015413C" w:rsidRPr="005451A6">
        <w:rPr>
          <w:lang w:val="fr-FR"/>
        </w:rPr>
        <w:t>examinera donc</w:t>
      </w:r>
      <w:r w:rsidR="001A5ECF" w:rsidRPr="005451A6">
        <w:rPr>
          <w:lang w:val="fr-FR"/>
        </w:rPr>
        <w:t>,</w:t>
      </w:r>
      <w:r w:rsidR="0015413C" w:rsidRPr="005451A6">
        <w:rPr>
          <w:lang w:val="fr-FR"/>
        </w:rPr>
        <w:t xml:space="preserve"> </w:t>
      </w:r>
      <w:r w:rsidR="001A5ECF" w:rsidRPr="005451A6">
        <w:rPr>
          <w:lang w:val="fr-FR"/>
        </w:rPr>
        <w:t>d</w:t>
      </w:r>
      <w:r w:rsidR="005451A6" w:rsidRPr="005451A6">
        <w:rPr>
          <w:lang w:val="fr-FR"/>
        </w:rPr>
        <w:t>’</w:t>
      </w:r>
      <w:r w:rsidR="001A5ECF" w:rsidRPr="005451A6">
        <w:rPr>
          <w:lang w:val="fr-FR"/>
        </w:rPr>
        <w:t xml:space="preserve">une part, </w:t>
      </w:r>
      <w:r w:rsidR="0015413C" w:rsidRPr="005451A6">
        <w:rPr>
          <w:lang w:val="fr-FR"/>
        </w:rPr>
        <w:t>de quelle manière le requérant présenta son grief à la Cour de cassation, et</w:t>
      </w:r>
      <w:r w:rsidR="001A5ECF" w:rsidRPr="005451A6">
        <w:rPr>
          <w:lang w:val="fr-FR"/>
        </w:rPr>
        <w:t>, d</w:t>
      </w:r>
      <w:r w:rsidR="005451A6" w:rsidRPr="005451A6">
        <w:rPr>
          <w:lang w:val="fr-FR"/>
        </w:rPr>
        <w:t>’</w:t>
      </w:r>
      <w:r w:rsidR="001A5ECF" w:rsidRPr="005451A6">
        <w:rPr>
          <w:lang w:val="fr-FR"/>
        </w:rPr>
        <w:t>autre part,</w:t>
      </w:r>
      <w:r w:rsidR="0015413C" w:rsidRPr="005451A6">
        <w:rPr>
          <w:lang w:val="fr-FR"/>
        </w:rPr>
        <w:t xml:space="preserve"> pour quelles raisons son pourvoi fut rejeté.</w:t>
      </w:r>
    </w:p>
    <w:p w:rsidR="008D7A60" w:rsidRPr="005451A6" w:rsidRDefault="00F03F37"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39</w:t>
      </w:r>
      <w:r w:rsidRPr="005451A6">
        <w:rPr>
          <w:lang w:val="fr-FR"/>
        </w:rPr>
        <w:fldChar w:fldCharType="end"/>
      </w:r>
      <w:r w:rsidRPr="005451A6">
        <w:rPr>
          <w:lang w:val="fr-FR"/>
        </w:rPr>
        <w:t>.  </w:t>
      </w:r>
      <w:r w:rsidR="00016CD6" w:rsidRPr="005451A6">
        <w:rPr>
          <w:szCs w:val="24"/>
          <w:lang w:val="fr-FR"/>
        </w:rPr>
        <w:t xml:space="preserve">Dans son mémoire en cassation, le requérant </w:t>
      </w:r>
      <w:r w:rsidR="008718EA" w:rsidRPr="005451A6">
        <w:rPr>
          <w:szCs w:val="24"/>
          <w:lang w:val="fr-FR"/>
        </w:rPr>
        <w:t>se plai</w:t>
      </w:r>
      <w:r w:rsidR="00731AE6" w:rsidRPr="005451A6">
        <w:rPr>
          <w:szCs w:val="24"/>
          <w:lang w:val="fr-FR"/>
        </w:rPr>
        <w:t>gnit</w:t>
      </w:r>
      <w:r w:rsidR="008718EA" w:rsidRPr="005451A6">
        <w:rPr>
          <w:szCs w:val="24"/>
          <w:lang w:val="fr-FR"/>
        </w:rPr>
        <w:t xml:space="preserve"> d</w:t>
      </w:r>
      <w:r w:rsidR="005451A6" w:rsidRPr="005451A6">
        <w:rPr>
          <w:szCs w:val="24"/>
          <w:lang w:val="fr-FR"/>
        </w:rPr>
        <w:t>’</w:t>
      </w:r>
      <w:r w:rsidR="008718EA" w:rsidRPr="005451A6">
        <w:rPr>
          <w:szCs w:val="24"/>
          <w:lang w:val="fr-FR"/>
        </w:rPr>
        <w:t>une violation ou mauvaise application des dispositions de la loi n</w:t>
      </w:r>
      <w:r w:rsidR="00C72B00" w:rsidRPr="005451A6">
        <w:rPr>
          <w:szCs w:val="24"/>
          <w:vertAlign w:val="superscript"/>
          <w:lang w:val="fr-FR"/>
        </w:rPr>
        <w:t>o</w:t>
      </w:r>
      <w:r w:rsidR="000A4EF5" w:rsidRPr="005451A6">
        <w:rPr>
          <w:szCs w:val="24"/>
          <w:lang w:val="fr-FR"/>
        </w:rPr>
        <w:t> </w:t>
      </w:r>
      <w:r w:rsidR="008718EA" w:rsidRPr="005451A6">
        <w:rPr>
          <w:szCs w:val="24"/>
          <w:lang w:val="fr-FR"/>
        </w:rPr>
        <w:t xml:space="preserve">223/1991. Il </w:t>
      </w:r>
      <w:r w:rsidR="00FC1AB6" w:rsidRPr="005451A6">
        <w:rPr>
          <w:szCs w:val="24"/>
          <w:lang w:val="fr-FR"/>
        </w:rPr>
        <w:t>argua</w:t>
      </w:r>
      <w:r w:rsidR="00731AE6" w:rsidRPr="005451A6">
        <w:rPr>
          <w:szCs w:val="24"/>
          <w:lang w:val="fr-FR"/>
        </w:rPr>
        <w:t xml:space="preserve"> </w:t>
      </w:r>
      <w:r w:rsidR="00E6392B" w:rsidRPr="005451A6">
        <w:rPr>
          <w:szCs w:val="24"/>
          <w:lang w:val="fr-FR"/>
        </w:rPr>
        <w:t>notamment</w:t>
      </w:r>
      <w:r w:rsidR="008718EA" w:rsidRPr="005451A6">
        <w:rPr>
          <w:szCs w:val="24"/>
          <w:lang w:val="fr-FR"/>
        </w:rPr>
        <w:t xml:space="preserve"> </w:t>
      </w:r>
      <w:r w:rsidR="00FC1AB6" w:rsidRPr="005451A6">
        <w:rPr>
          <w:szCs w:val="24"/>
          <w:lang w:val="fr-FR"/>
        </w:rPr>
        <w:t xml:space="preserve">que </w:t>
      </w:r>
      <w:r w:rsidR="008718EA" w:rsidRPr="005451A6">
        <w:rPr>
          <w:szCs w:val="24"/>
          <w:lang w:val="fr-FR"/>
        </w:rPr>
        <w:t>l</w:t>
      </w:r>
      <w:r w:rsidR="005451A6" w:rsidRPr="005451A6">
        <w:rPr>
          <w:szCs w:val="24"/>
          <w:lang w:val="fr-FR"/>
        </w:rPr>
        <w:t>’</w:t>
      </w:r>
      <w:r w:rsidR="008718EA" w:rsidRPr="005451A6">
        <w:rPr>
          <w:szCs w:val="24"/>
          <w:lang w:val="fr-FR"/>
        </w:rPr>
        <w:t xml:space="preserve">exclusion </w:t>
      </w:r>
      <w:r w:rsidR="00D54EAC" w:rsidRPr="005451A6">
        <w:rPr>
          <w:szCs w:val="24"/>
          <w:lang w:val="fr-FR"/>
        </w:rPr>
        <w:t>d</w:t>
      </w:r>
      <w:r w:rsidR="001A5ECF" w:rsidRPr="005451A6">
        <w:rPr>
          <w:szCs w:val="24"/>
          <w:lang w:val="fr-FR"/>
        </w:rPr>
        <w:t>u champ d</w:t>
      </w:r>
      <w:r w:rsidR="005451A6" w:rsidRPr="005451A6">
        <w:rPr>
          <w:szCs w:val="24"/>
          <w:lang w:val="fr-FR"/>
        </w:rPr>
        <w:t>’</w:t>
      </w:r>
      <w:r w:rsidR="001A5ECF" w:rsidRPr="005451A6">
        <w:rPr>
          <w:szCs w:val="24"/>
          <w:lang w:val="fr-FR"/>
        </w:rPr>
        <w:t>application de cette</w:t>
      </w:r>
      <w:r w:rsidR="00D54EAC" w:rsidRPr="005451A6">
        <w:rPr>
          <w:szCs w:val="24"/>
          <w:lang w:val="fr-FR"/>
        </w:rPr>
        <w:t xml:space="preserve"> loi </w:t>
      </w:r>
      <w:r w:rsidR="008718EA" w:rsidRPr="005451A6">
        <w:rPr>
          <w:szCs w:val="24"/>
          <w:lang w:val="fr-FR"/>
        </w:rPr>
        <w:t xml:space="preserve">de la catégorie des </w:t>
      </w:r>
      <w:r w:rsidR="008E16BC" w:rsidRPr="005451A6">
        <w:rPr>
          <w:szCs w:val="24"/>
          <w:lang w:val="fr-FR"/>
        </w:rPr>
        <w:t>dirigeants</w:t>
      </w:r>
      <w:r w:rsidR="008718EA" w:rsidRPr="005451A6">
        <w:rPr>
          <w:szCs w:val="24"/>
          <w:lang w:val="fr-FR"/>
        </w:rPr>
        <w:t xml:space="preserve"> </w:t>
      </w:r>
      <w:r w:rsidR="00FC1AB6" w:rsidRPr="005451A6">
        <w:rPr>
          <w:szCs w:val="24"/>
          <w:lang w:val="fr-FR"/>
        </w:rPr>
        <w:t>était</w:t>
      </w:r>
      <w:r w:rsidR="008718EA" w:rsidRPr="005451A6">
        <w:rPr>
          <w:szCs w:val="24"/>
          <w:lang w:val="fr-FR"/>
        </w:rPr>
        <w:t xml:space="preserve"> contraire à la directive </w:t>
      </w:r>
      <w:r w:rsidR="00731AE6" w:rsidRPr="005451A6">
        <w:rPr>
          <w:szCs w:val="24"/>
          <w:lang w:val="fr-FR"/>
        </w:rPr>
        <w:t xml:space="preserve">CE </w:t>
      </w:r>
      <w:r w:rsidR="008718EA" w:rsidRPr="005451A6">
        <w:rPr>
          <w:szCs w:val="24"/>
          <w:lang w:val="fr-FR"/>
        </w:rPr>
        <w:t>98/59</w:t>
      </w:r>
      <w:r w:rsidR="0086683D" w:rsidRPr="005451A6">
        <w:rPr>
          <w:szCs w:val="24"/>
          <w:lang w:val="fr-FR"/>
        </w:rPr>
        <w:t xml:space="preserve"> </w:t>
      </w:r>
      <w:r w:rsidR="0086683D" w:rsidRPr="005451A6">
        <w:rPr>
          <w:lang w:val="fr-FR"/>
        </w:rPr>
        <w:t>concernant le rapprochement des législations des États membres relatives aux licenciements collectifs. Pour ce faire, il s</w:t>
      </w:r>
      <w:r w:rsidR="005451A6" w:rsidRPr="005451A6">
        <w:rPr>
          <w:lang w:val="fr-FR"/>
        </w:rPr>
        <w:t>’</w:t>
      </w:r>
      <w:r w:rsidR="0086683D" w:rsidRPr="005451A6">
        <w:rPr>
          <w:lang w:val="fr-FR"/>
        </w:rPr>
        <w:t>appuya en particulier sur un arrêt de la CJUE.</w:t>
      </w:r>
    </w:p>
    <w:p w:rsidR="008D7A60" w:rsidRPr="005451A6" w:rsidRDefault="00D54EAC"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40</w:t>
      </w:r>
      <w:r w:rsidRPr="005451A6">
        <w:rPr>
          <w:lang w:val="fr-FR"/>
        </w:rPr>
        <w:fldChar w:fldCharType="end"/>
      </w:r>
      <w:r w:rsidR="001406C3" w:rsidRPr="005451A6">
        <w:rPr>
          <w:lang w:val="fr-FR"/>
        </w:rPr>
        <w:t>.  </w:t>
      </w:r>
      <w:r w:rsidR="00CB738C" w:rsidRPr="005451A6">
        <w:rPr>
          <w:lang w:val="fr-FR"/>
        </w:rPr>
        <w:t xml:space="preserve">À </w:t>
      </w:r>
      <w:r w:rsidRPr="005451A6">
        <w:rPr>
          <w:lang w:val="fr-FR"/>
        </w:rPr>
        <w:t xml:space="preserve">conclusion de son unique moyen, le requérant </w:t>
      </w:r>
      <w:r w:rsidR="00FC1AB6" w:rsidRPr="005451A6">
        <w:rPr>
          <w:lang w:val="fr-FR"/>
        </w:rPr>
        <w:t>ne formul</w:t>
      </w:r>
      <w:r w:rsidRPr="005451A6">
        <w:rPr>
          <w:lang w:val="fr-FR"/>
        </w:rPr>
        <w:t xml:space="preserve">a </w:t>
      </w:r>
      <w:r w:rsidR="00FC1AB6" w:rsidRPr="005451A6">
        <w:rPr>
          <w:lang w:val="fr-FR"/>
        </w:rPr>
        <w:t>pas</w:t>
      </w:r>
      <w:r w:rsidR="008E16BC" w:rsidRPr="005451A6">
        <w:rPr>
          <w:lang w:val="fr-FR"/>
        </w:rPr>
        <w:t xml:space="preserve"> la question en droit dans la</w:t>
      </w:r>
      <w:r w:rsidRPr="005451A6">
        <w:rPr>
          <w:lang w:val="fr-FR"/>
        </w:rPr>
        <w:t>quel</w:t>
      </w:r>
      <w:r w:rsidR="008E16BC" w:rsidRPr="005451A6">
        <w:rPr>
          <w:lang w:val="fr-FR"/>
        </w:rPr>
        <w:t>le</w:t>
      </w:r>
      <w:r w:rsidRPr="005451A6">
        <w:rPr>
          <w:lang w:val="fr-FR"/>
        </w:rPr>
        <w:t xml:space="preserve"> il aurait dû indiquer le principe de droit qu</w:t>
      </w:r>
      <w:r w:rsidR="005451A6" w:rsidRPr="005451A6">
        <w:rPr>
          <w:lang w:val="fr-FR"/>
        </w:rPr>
        <w:t>’</w:t>
      </w:r>
      <w:r w:rsidRPr="005451A6">
        <w:rPr>
          <w:lang w:val="fr-FR"/>
        </w:rPr>
        <w:t>il assum</w:t>
      </w:r>
      <w:r w:rsidR="00731AE6" w:rsidRPr="005451A6">
        <w:rPr>
          <w:lang w:val="fr-FR"/>
        </w:rPr>
        <w:t>ait</w:t>
      </w:r>
      <w:r w:rsidRPr="005451A6">
        <w:rPr>
          <w:lang w:val="fr-FR"/>
        </w:rPr>
        <w:t xml:space="preserve"> violé. </w:t>
      </w:r>
      <w:r w:rsidR="00731AE6" w:rsidRPr="005451A6">
        <w:rPr>
          <w:lang w:val="fr-FR"/>
        </w:rPr>
        <w:t>Dans ses conclusions,</w:t>
      </w:r>
      <w:r w:rsidR="00FC1AB6" w:rsidRPr="005451A6">
        <w:rPr>
          <w:lang w:val="fr-FR"/>
        </w:rPr>
        <w:t xml:space="preserve"> après avoir résumé son raisonnement,</w:t>
      </w:r>
      <w:r w:rsidR="00731AE6" w:rsidRPr="005451A6">
        <w:rPr>
          <w:lang w:val="fr-FR"/>
        </w:rPr>
        <w:t xml:space="preserve"> i</w:t>
      </w:r>
      <w:r w:rsidR="00C8479B" w:rsidRPr="005451A6">
        <w:rPr>
          <w:lang w:val="fr-FR"/>
        </w:rPr>
        <w:t xml:space="preserve">l </w:t>
      </w:r>
      <w:r w:rsidR="001A5ECF" w:rsidRPr="005451A6">
        <w:rPr>
          <w:lang w:val="fr-FR"/>
        </w:rPr>
        <w:t>invita</w:t>
      </w:r>
      <w:r w:rsidR="00C8479B" w:rsidRPr="005451A6">
        <w:rPr>
          <w:lang w:val="fr-FR"/>
        </w:rPr>
        <w:t xml:space="preserve"> la Cour de cassation à infirmer la décision de la cour d</w:t>
      </w:r>
      <w:r w:rsidR="005451A6" w:rsidRPr="005451A6">
        <w:rPr>
          <w:lang w:val="fr-FR"/>
        </w:rPr>
        <w:t>’</w:t>
      </w:r>
      <w:r w:rsidR="00C8479B" w:rsidRPr="005451A6">
        <w:rPr>
          <w:lang w:val="fr-FR"/>
        </w:rPr>
        <w:t xml:space="preserve">appel de Milan et à </w:t>
      </w:r>
      <w:r w:rsidR="00731AE6" w:rsidRPr="005451A6">
        <w:rPr>
          <w:lang w:val="fr-FR"/>
        </w:rPr>
        <w:t xml:space="preserve">formuler le principe de droit à appliquer </w:t>
      </w:r>
      <w:r w:rsidR="001A5ECF" w:rsidRPr="005451A6">
        <w:rPr>
          <w:lang w:val="fr-FR"/>
        </w:rPr>
        <w:t xml:space="preserve">dans la procédure </w:t>
      </w:r>
      <w:r w:rsidR="00731AE6" w:rsidRPr="005451A6">
        <w:rPr>
          <w:lang w:val="fr-FR"/>
        </w:rPr>
        <w:t>de renvoi.</w:t>
      </w:r>
    </w:p>
    <w:p w:rsidR="008D7A60" w:rsidRPr="005451A6" w:rsidRDefault="00731AE6"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41</w:t>
      </w:r>
      <w:r w:rsidRPr="005451A6">
        <w:rPr>
          <w:lang w:val="fr-FR"/>
        </w:rPr>
        <w:fldChar w:fldCharType="end"/>
      </w:r>
      <w:r w:rsidRPr="005451A6">
        <w:rPr>
          <w:lang w:val="fr-FR"/>
        </w:rPr>
        <w:t xml:space="preserve">.  La Cour de cassation rejeta </w:t>
      </w:r>
      <w:r w:rsidR="00FC1AB6" w:rsidRPr="005451A6">
        <w:rPr>
          <w:lang w:val="fr-FR"/>
        </w:rPr>
        <w:t xml:space="preserve">le pourvoi </w:t>
      </w:r>
      <w:r w:rsidR="008E16BC" w:rsidRPr="005451A6">
        <w:rPr>
          <w:lang w:val="fr-FR"/>
        </w:rPr>
        <w:t>faute de formulation adéquate et appropriée d</w:t>
      </w:r>
      <w:r w:rsidR="005451A6" w:rsidRPr="005451A6">
        <w:rPr>
          <w:lang w:val="fr-FR"/>
        </w:rPr>
        <w:t>’</w:t>
      </w:r>
      <w:r w:rsidR="008E16BC" w:rsidRPr="005451A6">
        <w:rPr>
          <w:lang w:val="fr-FR"/>
        </w:rPr>
        <w:t xml:space="preserve">une question en droit </w:t>
      </w:r>
      <w:r w:rsidR="00FC1AB6" w:rsidRPr="005451A6">
        <w:rPr>
          <w:lang w:val="fr-FR"/>
        </w:rPr>
        <w:t>permettant l</w:t>
      </w:r>
      <w:r w:rsidR="005451A6" w:rsidRPr="005451A6">
        <w:rPr>
          <w:lang w:val="fr-FR"/>
        </w:rPr>
        <w:t>’</w:t>
      </w:r>
      <w:r w:rsidR="00FC1AB6" w:rsidRPr="005451A6">
        <w:rPr>
          <w:lang w:val="fr-FR"/>
        </w:rPr>
        <w:t xml:space="preserve">identification du contenu du </w:t>
      </w:r>
      <w:r w:rsidR="008E16BC" w:rsidRPr="005451A6">
        <w:rPr>
          <w:lang w:val="fr-FR"/>
        </w:rPr>
        <w:t>pourvoi</w:t>
      </w:r>
      <w:r w:rsidR="00FC1AB6" w:rsidRPr="005451A6">
        <w:rPr>
          <w:lang w:val="fr-FR"/>
        </w:rPr>
        <w:t xml:space="preserve"> et </w:t>
      </w:r>
      <w:r w:rsidR="00AD1291" w:rsidRPr="005451A6">
        <w:rPr>
          <w:lang w:val="fr-FR"/>
        </w:rPr>
        <w:t xml:space="preserve">le </w:t>
      </w:r>
      <w:r w:rsidR="00973E65" w:rsidRPr="005451A6">
        <w:rPr>
          <w:lang w:val="fr-FR"/>
        </w:rPr>
        <w:t>raisonnement</w:t>
      </w:r>
      <w:r w:rsidR="00FC1AB6" w:rsidRPr="005451A6">
        <w:rPr>
          <w:lang w:val="fr-FR"/>
        </w:rPr>
        <w:t xml:space="preserve"> </w:t>
      </w:r>
      <w:r w:rsidR="00AD1291" w:rsidRPr="005451A6">
        <w:rPr>
          <w:lang w:val="fr-FR"/>
        </w:rPr>
        <w:t>de la partie</w:t>
      </w:r>
      <w:r w:rsidR="00FC1AB6" w:rsidRPr="005451A6">
        <w:rPr>
          <w:lang w:val="fr-FR"/>
        </w:rPr>
        <w:t xml:space="preserve">. </w:t>
      </w:r>
      <w:r w:rsidR="008E16BC" w:rsidRPr="005451A6">
        <w:rPr>
          <w:lang w:val="fr-FR"/>
        </w:rPr>
        <w:t>Elle</w:t>
      </w:r>
      <w:r w:rsidR="00FC1AB6" w:rsidRPr="005451A6">
        <w:rPr>
          <w:lang w:val="fr-FR"/>
        </w:rPr>
        <w:t xml:space="preserve"> rappela</w:t>
      </w:r>
      <w:r w:rsidR="008E16BC" w:rsidRPr="005451A6">
        <w:rPr>
          <w:lang w:val="fr-FR"/>
        </w:rPr>
        <w:t>,</w:t>
      </w:r>
      <w:r w:rsidR="00FC1AB6" w:rsidRPr="005451A6">
        <w:rPr>
          <w:lang w:val="fr-FR"/>
        </w:rPr>
        <w:t xml:space="preserve"> en outre</w:t>
      </w:r>
      <w:r w:rsidR="008E16BC" w:rsidRPr="005451A6">
        <w:rPr>
          <w:lang w:val="fr-FR"/>
        </w:rPr>
        <w:t>,</w:t>
      </w:r>
      <w:r w:rsidR="00FC1AB6" w:rsidRPr="005451A6">
        <w:rPr>
          <w:lang w:val="fr-FR"/>
        </w:rPr>
        <w:t xml:space="preserve"> sa jurisprudence consolidée en la matière, selon laquelle si l</w:t>
      </w:r>
      <w:r w:rsidR="005F033F" w:rsidRPr="005451A6">
        <w:rPr>
          <w:lang w:val="fr-FR"/>
        </w:rPr>
        <w:t>a question en droit</w:t>
      </w:r>
      <w:r w:rsidR="00FC1AB6" w:rsidRPr="005451A6">
        <w:rPr>
          <w:i/>
          <w:lang w:val="fr-FR"/>
        </w:rPr>
        <w:t xml:space="preserve"> </w:t>
      </w:r>
      <w:r w:rsidR="00FC1AB6" w:rsidRPr="005451A6">
        <w:rPr>
          <w:lang w:val="fr-FR"/>
        </w:rPr>
        <w:t xml:space="preserve">pouvait </w:t>
      </w:r>
      <w:r w:rsidR="008E16BC" w:rsidRPr="005451A6">
        <w:rPr>
          <w:lang w:val="fr-FR"/>
        </w:rPr>
        <w:t>être</w:t>
      </w:r>
      <w:r w:rsidR="00FC1AB6" w:rsidRPr="005451A6">
        <w:rPr>
          <w:lang w:val="fr-FR"/>
        </w:rPr>
        <w:t xml:space="preserve"> dédui</w:t>
      </w:r>
      <w:r w:rsidR="008E16BC" w:rsidRPr="005451A6">
        <w:rPr>
          <w:lang w:val="fr-FR"/>
        </w:rPr>
        <w:t>t</w:t>
      </w:r>
      <w:r w:rsidR="00FC1AB6" w:rsidRPr="005451A6">
        <w:rPr>
          <w:lang w:val="fr-FR"/>
        </w:rPr>
        <w:t>e de la formulation du moyen de cassation, une telle interprétation produirait</w:t>
      </w:r>
      <w:r w:rsidR="00AD1291" w:rsidRPr="005451A6">
        <w:rPr>
          <w:lang w:val="fr-FR"/>
        </w:rPr>
        <w:t xml:space="preserve"> </w:t>
      </w:r>
      <w:r w:rsidR="00FC1AB6" w:rsidRPr="005451A6">
        <w:rPr>
          <w:lang w:val="fr-FR"/>
        </w:rPr>
        <w:t xml:space="preserve">une abrogation </w:t>
      </w:r>
      <w:r w:rsidR="00AD1291" w:rsidRPr="005451A6">
        <w:rPr>
          <w:lang w:val="fr-FR"/>
        </w:rPr>
        <w:t>implicite</w:t>
      </w:r>
      <w:r w:rsidR="00FC1AB6" w:rsidRPr="005451A6">
        <w:rPr>
          <w:lang w:val="fr-FR"/>
        </w:rPr>
        <w:t xml:space="preserve"> de</w:t>
      </w:r>
      <w:r w:rsidR="00AD1291" w:rsidRPr="005451A6">
        <w:rPr>
          <w:lang w:val="fr-FR"/>
        </w:rPr>
        <w:t xml:space="preserve"> la condition de recevabilité des pourvois en cassation prévue à</w:t>
      </w:r>
      <w:r w:rsidR="00FC1AB6" w:rsidRPr="005451A6">
        <w:rPr>
          <w:lang w:val="fr-FR"/>
        </w:rPr>
        <w:t xml:space="preserve"> l</w:t>
      </w:r>
      <w:r w:rsidR="005451A6" w:rsidRPr="005451A6">
        <w:rPr>
          <w:lang w:val="fr-FR"/>
        </w:rPr>
        <w:t>’</w:t>
      </w:r>
      <w:r w:rsidR="00FC1AB6" w:rsidRPr="005451A6">
        <w:rPr>
          <w:lang w:val="fr-FR"/>
        </w:rPr>
        <w:t>article 366</w:t>
      </w:r>
      <w:r w:rsidR="00FC1AB6" w:rsidRPr="005451A6">
        <w:rPr>
          <w:i/>
          <w:lang w:val="fr-FR"/>
        </w:rPr>
        <w:t>bis</w:t>
      </w:r>
      <w:r w:rsidR="00AD1291" w:rsidRPr="005451A6">
        <w:rPr>
          <w:i/>
          <w:lang w:val="fr-FR"/>
        </w:rPr>
        <w:t xml:space="preserve"> </w:t>
      </w:r>
      <w:r w:rsidR="00AD1291" w:rsidRPr="005451A6">
        <w:rPr>
          <w:lang w:val="fr-FR"/>
        </w:rPr>
        <w:t>CPC.</w:t>
      </w:r>
    </w:p>
    <w:p w:rsidR="00EC74B2" w:rsidRPr="005451A6" w:rsidRDefault="00FC1AB6"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42</w:t>
      </w:r>
      <w:r w:rsidRPr="005451A6">
        <w:rPr>
          <w:lang w:val="fr-FR"/>
        </w:rPr>
        <w:fldChar w:fldCharType="end"/>
      </w:r>
      <w:r w:rsidRPr="005451A6">
        <w:rPr>
          <w:lang w:val="fr-FR"/>
        </w:rPr>
        <w:t>.  La Cour relève qu</w:t>
      </w:r>
      <w:r w:rsidR="00973E65" w:rsidRPr="005451A6">
        <w:rPr>
          <w:lang w:val="fr-FR"/>
        </w:rPr>
        <w:t>e</w:t>
      </w:r>
      <w:r w:rsidRPr="005451A6">
        <w:rPr>
          <w:lang w:val="fr-FR"/>
        </w:rPr>
        <w:t xml:space="preserve"> le pourvoi du requérant manque</w:t>
      </w:r>
      <w:r w:rsidR="00973E65" w:rsidRPr="005451A6">
        <w:rPr>
          <w:lang w:val="fr-FR"/>
        </w:rPr>
        <w:t xml:space="preserve"> en effet </w:t>
      </w:r>
      <w:r w:rsidRPr="005451A6">
        <w:rPr>
          <w:lang w:val="fr-FR"/>
        </w:rPr>
        <w:t>d</w:t>
      </w:r>
      <w:r w:rsidR="005451A6" w:rsidRPr="005451A6">
        <w:rPr>
          <w:lang w:val="fr-FR"/>
        </w:rPr>
        <w:t>’</w:t>
      </w:r>
      <w:r w:rsidR="00973E65" w:rsidRPr="005451A6">
        <w:rPr>
          <w:lang w:val="fr-FR"/>
        </w:rPr>
        <w:t>une</w:t>
      </w:r>
      <w:r w:rsidRPr="005451A6">
        <w:rPr>
          <w:lang w:val="fr-FR"/>
        </w:rPr>
        <w:t xml:space="preserve"> </w:t>
      </w:r>
      <w:r w:rsidR="00AD1291" w:rsidRPr="005451A6">
        <w:rPr>
          <w:lang w:val="fr-FR"/>
        </w:rPr>
        <w:t>question en droit à conclusion du moyen de cassation</w:t>
      </w:r>
      <w:r w:rsidR="00973E65" w:rsidRPr="005451A6">
        <w:rPr>
          <w:lang w:val="fr-FR"/>
        </w:rPr>
        <w:t>,</w:t>
      </w:r>
      <w:r w:rsidRPr="005451A6">
        <w:rPr>
          <w:lang w:val="fr-FR"/>
        </w:rPr>
        <w:t xml:space="preserve"> tel que dema</w:t>
      </w:r>
      <w:r w:rsidR="001A7B22" w:rsidRPr="005451A6">
        <w:rPr>
          <w:lang w:val="fr-FR"/>
        </w:rPr>
        <w:t>ndée par l</w:t>
      </w:r>
      <w:r w:rsidR="005451A6" w:rsidRPr="005451A6">
        <w:rPr>
          <w:lang w:val="fr-FR"/>
        </w:rPr>
        <w:t>’</w:t>
      </w:r>
      <w:r w:rsidR="00CB738C" w:rsidRPr="005451A6">
        <w:rPr>
          <w:lang w:val="fr-FR"/>
        </w:rPr>
        <w:t>article</w:t>
      </w:r>
      <w:r w:rsidR="001A7B22" w:rsidRPr="005451A6">
        <w:rPr>
          <w:lang w:val="fr-FR"/>
        </w:rPr>
        <w:t xml:space="preserve"> susmentionné</w:t>
      </w:r>
      <w:r w:rsidR="00AD1291" w:rsidRPr="005451A6">
        <w:rPr>
          <w:lang w:val="fr-FR"/>
        </w:rPr>
        <w:t xml:space="preserve"> et</w:t>
      </w:r>
      <w:r w:rsidR="001A7B22" w:rsidRPr="005451A6">
        <w:rPr>
          <w:lang w:val="fr-FR"/>
        </w:rPr>
        <w:t xml:space="preserve"> dont la finalité répond à une exigen</w:t>
      </w:r>
      <w:r w:rsidR="00FF6D0E" w:rsidRPr="005451A6">
        <w:rPr>
          <w:lang w:val="fr-FR"/>
        </w:rPr>
        <w:t>ce légitime (voir paragraphe §</w:t>
      </w:r>
      <w:r w:rsidR="008E16BC" w:rsidRPr="005451A6">
        <w:rPr>
          <w:lang w:val="fr-FR"/>
        </w:rPr>
        <w:t xml:space="preserve"> </w:t>
      </w:r>
      <w:r w:rsidR="00CB738C" w:rsidRPr="005451A6">
        <w:rPr>
          <w:lang w:val="fr-FR"/>
        </w:rPr>
        <w:t>3</w:t>
      </w:r>
      <w:r w:rsidR="00596E07" w:rsidRPr="005451A6">
        <w:rPr>
          <w:lang w:val="fr-FR"/>
        </w:rPr>
        <w:t>7</w:t>
      </w:r>
      <w:r w:rsidR="00CB738C" w:rsidRPr="005451A6">
        <w:rPr>
          <w:lang w:val="fr-FR"/>
        </w:rPr>
        <w:t xml:space="preserve"> ci-dessus</w:t>
      </w:r>
      <w:r w:rsidR="001A7B22" w:rsidRPr="005451A6">
        <w:rPr>
          <w:lang w:val="fr-FR"/>
        </w:rPr>
        <w:t>).</w:t>
      </w:r>
      <w:r w:rsidR="005F033F" w:rsidRPr="005451A6">
        <w:rPr>
          <w:lang w:val="fr-FR"/>
        </w:rPr>
        <w:t xml:space="preserve"> Aux yeux de la Cour, </w:t>
      </w:r>
      <w:r w:rsidR="008E16BC" w:rsidRPr="005451A6">
        <w:rPr>
          <w:lang w:val="fr-FR"/>
        </w:rPr>
        <w:t xml:space="preserve">le fait de demander </w:t>
      </w:r>
      <w:r w:rsidR="006A291B" w:rsidRPr="005451A6">
        <w:rPr>
          <w:lang w:val="fr-FR"/>
        </w:rPr>
        <w:t>au requérant</w:t>
      </w:r>
      <w:r w:rsidR="008E16BC" w:rsidRPr="005451A6">
        <w:rPr>
          <w:lang w:val="fr-FR"/>
        </w:rPr>
        <w:t xml:space="preserve"> de conclure </w:t>
      </w:r>
      <w:r w:rsidR="006A291B" w:rsidRPr="005451A6">
        <w:rPr>
          <w:lang w:val="fr-FR"/>
        </w:rPr>
        <w:t>son</w:t>
      </w:r>
      <w:r w:rsidR="00821759" w:rsidRPr="005451A6">
        <w:rPr>
          <w:lang w:val="fr-FR"/>
        </w:rPr>
        <w:t xml:space="preserve"> moyen</w:t>
      </w:r>
      <w:r w:rsidR="007A21EE" w:rsidRPr="005451A6">
        <w:rPr>
          <w:lang w:val="fr-FR"/>
        </w:rPr>
        <w:t xml:space="preserve"> de cassation</w:t>
      </w:r>
      <w:r w:rsidR="00821759" w:rsidRPr="005451A6">
        <w:rPr>
          <w:lang w:val="fr-FR"/>
        </w:rPr>
        <w:t xml:space="preserve"> avec </w:t>
      </w:r>
      <w:r w:rsidR="00EC74B2" w:rsidRPr="005451A6">
        <w:rPr>
          <w:lang w:val="fr-FR"/>
        </w:rPr>
        <w:t>un paragraphe de</w:t>
      </w:r>
      <w:r w:rsidR="007A21EE" w:rsidRPr="005451A6">
        <w:rPr>
          <w:lang w:val="fr-FR"/>
        </w:rPr>
        <w:t xml:space="preserve"> synthèse</w:t>
      </w:r>
      <w:r w:rsidR="00EC74B2" w:rsidRPr="005451A6">
        <w:rPr>
          <w:lang w:val="fr-FR"/>
        </w:rPr>
        <w:t xml:space="preserve">, résumant le raisonnement </w:t>
      </w:r>
      <w:r w:rsidR="006A291B" w:rsidRPr="005451A6">
        <w:rPr>
          <w:lang w:val="fr-FR"/>
        </w:rPr>
        <w:t>suivi</w:t>
      </w:r>
      <w:r w:rsidR="00EC74B2" w:rsidRPr="005451A6">
        <w:rPr>
          <w:lang w:val="fr-FR"/>
        </w:rPr>
        <w:t xml:space="preserve"> et explicitant</w:t>
      </w:r>
      <w:r w:rsidR="007A21EE" w:rsidRPr="005451A6">
        <w:rPr>
          <w:lang w:val="fr-FR"/>
        </w:rPr>
        <w:t xml:space="preserve"> </w:t>
      </w:r>
      <w:r w:rsidR="00EC74B2" w:rsidRPr="005451A6">
        <w:rPr>
          <w:lang w:val="fr-FR"/>
        </w:rPr>
        <w:t>le</w:t>
      </w:r>
      <w:r w:rsidR="007A21EE" w:rsidRPr="005451A6">
        <w:rPr>
          <w:lang w:val="fr-FR"/>
        </w:rPr>
        <w:t xml:space="preserve"> principe de droit qu</w:t>
      </w:r>
      <w:r w:rsidR="005451A6" w:rsidRPr="005451A6">
        <w:rPr>
          <w:lang w:val="fr-FR"/>
        </w:rPr>
        <w:t>’</w:t>
      </w:r>
      <w:r w:rsidR="00D01BAC" w:rsidRPr="005451A6">
        <w:rPr>
          <w:lang w:val="fr-FR"/>
        </w:rPr>
        <w:t>il</w:t>
      </w:r>
      <w:r w:rsidR="007A21EE" w:rsidRPr="005451A6">
        <w:rPr>
          <w:lang w:val="fr-FR"/>
        </w:rPr>
        <w:t xml:space="preserve"> assume violé</w:t>
      </w:r>
      <w:r w:rsidR="00EC74B2" w:rsidRPr="005451A6">
        <w:rPr>
          <w:lang w:val="fr-FR"/>
        </w:rPr>
        <w:t>, n</w:t>
      </w:r>
      <w:r w:rsidR="005451A6" w:rsidRPr="005451A6">
        <w:rPr>
          <w:lang w:val="fr-FR"/>
        </w:rPr>
        <w:t>’</w:t>
      </w:r>
      <w:r w:rsidR="00D01BAC" w:rsidRPr="005451A6">
        <w:rPr>
          <w:lang w:val="fr-FR"/>
        </w:rPr>
        <w:t xml:space="preserve">aurait requis aucun effort </w:t>
      </w:r>
      <w:r w:rsidR="00E76E51" w:rsidRPr="005451A6">
        <w:rPr>
          <w:lang w:val="fr-FR"/>
        </w:rPr>
        <w:t xml:space="preserve">particulier </w:t>
      </w:r>
      <w:r w:rsidR="00D01BAC" w:rsidRPr="005451A6">
        <w:rPr>
          <w:lang w:val="fr-FR"/>
        </w:rPr>
        <w:t xml:space="preserve">ultérieur de la part de ce dernier. </w:t>
      </w:r>
      <w:r w:rsidR="0035629A" w:rsidRPr="005451A6">
        <w:rPr>
          <w:lang w:val="fr-FR"/>
        </w:rPr>
        <w:t>Partant, la décision d</w:t>
      </w:r>
      <w:r w:rsidR="005451A6" w:rsidRPr="005451A6">
        <w:rPr>
          <w:lang w:val="fr-FR"/>
        </w:rPr>
        <w:t>’</w:t>
      </w:r>
      <w:r w:rsidR="0035629A" w:rsidRPr="005451A6">
        <w:rPr>
          <w:lang w:val="fr-FR"/>
        </w:rPr>
        <w:t xml:space="preserve">irrecevabilité </w:t>
      </w:r>
      <w:r w:rsidR="00CB738C" w:rsidRPr="005451A6">
        <w:rPr>
          <w:lang w:val="fr-FR"/>
        </w:rPr>
        <w:t>ne</w:t>
      </w:r>
      <w:r w:rsidR="00EC74B2" w:rsidRPr="005451A6">
        <w:rPr>
          <w:lang w:val="fr-FR"/>
        </w:rPr>
        <w:t xml:space="preserve"> saurait pas</w:t>
      </w:r>
      <w:r w:rsidR="00CB738C" w:rsidRPr="005451A6">
        <w:rPr>
          <w:lang w:val="fr-FR"/>
        </w:rPr>
        <w:t xml:space="preserve">ser pour </w:t>
      </w:r>
      <w:r w:rsidR="00EC74B2" w:rsidRPr="005451A6">
        <w:rPr>
          <w:lang w:val="fr-FR"/>
        </w:rPr>
        <w:t xml:space="preserve">une interprétation par trop formaliste </w:t>
      </w:r>
      <w:r w:rsidR="00AD33FE" w:rsidRPr="005451A6">
        <w:rPr>
          <w:lang w:val="fr-FR"/>
        </w:rPr>
        <w:t>de la légalité ordinaire</w:t>
      </w:r>
      <w:r w:rsidR="00EC74B2" w:rsidRPr="005451A6">
        <w:rPr>
          <w:lang w:val="fr-FR"/>
        </w:rPr>
        <w:t xml:space="preserve"> empêchant</w:t>
      </w:r>
      <w:r w:rsidR="00AD33FE" w:rsidRPr="005451A6">
        <w:rPr>
          <w:lang w:val="fr-FR"/>
        </w:rPr>
        <w:t xml:space="preserve">, </w:t>
      </w:r>
      <w:r w:rsidR="00AD33FE" w:rsidRPr="005451A6">
        <w:rPr>
          <w:lang w:val="fr-FR"/>
        </w:rPr>
        <w:lastRenderedPageBreak/>
        <w:t>effectivement,</w:t>
      </w:r>
      <w:r w:rsidR="00EC74B2" w:rsidRPr="005451A6">
        <w:rPr>
          <w:lang w:val="fr-FR"/>
        </w:rPr>
        <w:t xml:space="preserve"> l</w:t>
      </w:r>
      <w:r w:rsidR="005451A6" w:rsidRPr="005451A6">
        <w:rPr>
          <w:lang w:val="fr-FR"/>
        </w:rPr>
        <w:t>’</w:t>
      </w:r>
      <w:r w:rsidR="00EC74B2" w:rsidRPr="005451A6">
        <w:rPr>
          <w:lang w:val="fr-FR"/>
        </w:rPr>
        <w:t>examen au fond du recours exercé par l</w:t>
      </w:r>
      <w:r w:rsidR="005451A6" w:rsidRPr="005451A6">
        <w:rPr>
          <w:lang w:val="fr-FR"/>
        </w:rPr>
        <w:t>’</w:t>
      </w:r>
      <w:r w:rsidR="00EC74B2" w:rsidRPr="005451A6">
        <w:rPr>
          <w:lang w:val="fr-FR"/>
        </w:rPr>
        <w:t>intéressé (</w:t>
      </w:r>
      <w:r w:rsidR="008467AF" w:rsidRPr="005451A6">
        <w:rPr>
          <w:lang w:val="fr-FR"/>
        </w:rPr>
        <w:t xml:space="preserve">voir, </w:t>
      </w:r>
      <w:r w:rsidR="008467AF" w:rsidRPr="005451A6">
        <w:rPr>
          <w:i/>
          <w:lang w:val="fr-FR"/>
        </w:rPr>
        <w:t>a contrario</w:t>
      </w:r>
      <w:r w:rsidR="008467AF" w:rsidRPr="005451A6">
        <w:rPr>
          <w:lang w:val="fr-FR"/>
        </w:rPr>
        <w:t xml:space="preserve">, </w:t>
      </w:r>
      <w:r w:rsidR="00EC74B2" w:rsidRPr="005451A6">
        <w:rPr>
          <w:i/>
          <w:lang w:val="fr-FR"/>
        </w:rPr>
        <w:t>Kemp et autres</w:t>
      </w:r>
      <w:r w:rsidR="00366E11" w:rsidRPr="005451A6">
        <w:rPr>
          <w:lang w:val="fr-FR"/>
        </w:rPr>
        <w:t>, précité,</w:t>
      </w:r>
      <w:r w:rsidR="00EC74B2" w:rsidRPr="005451A6">
        <w:rPr>
          <w:lang w:val="fr-FR"/>
        </w:rPr>
        <w:t xml:space="preserve"> § 59</w:t>
      </w:r>
      <w:r w:rsidR="001406C3" w:rsidRPr="005451A6">
        <w:rPr>
          <w:lang w:val="fr-FR"/>
        </w:rPr>
        <w:t> </w:t>
      </w:r>
      <w:r w:rsidR="00EC74B2" w:rsidRPr="005451A6">
        <w:rPr>
          <w:lang w:val="fr-FR"/>
        </w:rPr>
        <w:t xml:space="preserve">; </w:t>
      </w:r>
      <w:r w:rsidR="00EC74B2" w:rsidRPr="005451A6">
        <w:rPr>
          <w:i/>
          <w:lang w:val="fr-FR"/>
        </w:rPr>
        <w:t>RTBF c. Belgique</w:t>
      </w:r>
      <w:r w:rsidR="00EC74B2" w:rsidRPr="005451A6">
        <w:rPr>
          <w:lang w:val="fr-FR"/>
        </w:rPr>
        <w:t>, n</w:t>
      </w:r>
      <w:r w:rsidR="0038278D" w:rsidRPr="005451A6">
        <w:rPr>
          <w:vertAlign w:val="superscript"/>
          <w:lang w:val="fr-FR"/>
        </w:rPr>
        <w:t>o</w:t>
      </w:r>
      <w:r w:rsidR="00EC74B2" w:rsidRPr="005451A6">
        <w:rPr>
          <w:lang w:val="fr-FR"/>
        </w:rPr>
        <w:t xml:space="preserve"> 50084/06, §</w:t>
      </w:r>
      <w:r w:rsidR="00C75123" w:rsidRPr="005451A6">
        <w:rPr>
          <w:lang w:val="fr-FR"/>
        </w:rPr>
        <w:t> </w:t>
      </w:r>
      <w:r w:rsidR="00EC74B2" w:rsidRPr="005451A6">
        <w:rPr>
          <w:lang w:val="fr-FR"/>
        </w:rPr>
        <w:t>71, CEDH 2011 (extraits)).</w:t>
      </w:r>
    </w:p>
    <w:p w:rsidR="0038278D" w:rsidRPr="005451A6" w:rsidRDefault="007541CF"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43</w:t>
      </w:r>
      <w:r w:rsidRPr="005451A6">
        <w:rPr>
          <w:lang w:val="fr-FR"/>
        </w:rPr>
        <w:fldChar w:fldCharType="end"/>
      </w:r>
      <w:r w:rsidRPr="005451A6">
        <w:rPr>
          <w:lang w:val="fr-FR"/>
        </w:rPr>
        <w:t>.  </w:t>
      </w:r>
      <w:r w:rsidR="001A7B22" w:rsidRPr="005451A6">
        <w:rPr>
          <w:lang w:val="fr-FR"/>
        </w:rPr>
        <w:t>En outre, contrairement à ce que la Cour a constaté dans l</w:t>
      </w:r>
      <w:r w:rsidR="005451A6" w:rsidRPr="005451A6">
        <w:rPr>
          <w:lang w:val="fr-FR"/>
        </w:rPr>
        <w:t>’</w:t>
      </w:r>
      <w:r w:rsidR="001A7B22" w:rsidRPr="005451A6">
        <w:rPr>
          <w:lang w:val="fr-FR"/>
        </w:rPr>
        <w:t xml:space="preserve">arrêt </w:t>
      </w:r>
      <w:r w:rsidR="001A7B22" w:rsidRPr="005451A6">
        <w:rPr>
          <w:i/>
          <w:lang w:val="fr-FR"/>
        </w:rPr>
        <w:t xml:space="preserve">Běleš et autres </w:t>
      </w:r>
      <w:r w:rsidR="001A7B22" w:rsidRPr="005451A6">
        <w:rPr>
          <w:lang w:val="fr-FR"/>
        </w:rPr>
        <w:t>(</w:t>
      </w:r>
      <w:r w:rsidR="00DE2545" w:rsidRPr="005451A6">
        <w:rPr>
          <w:lang w:val="fr-FR"/>
        </w:rPr>
        <w:t>précité</w:t>
      </w:r>
      <w:r w:rsidR="001A7B22" w:rsidRPr="005451A6">
        <w:rPr>
          <w:lang w:val="fr-FR"/>
        </w:rPr>
        <w:t xml:space="preserve">, § 63), </w:t>
      </w:r>
      <w:r w:rsidR="00B53237" w:rsidRPr="005451A6">
        <w:rPr>
          <w:lang w:val="fr-FR"/>
        </w:rPr>
        <w:t>en l</w:t>
      </w:r>
      <w:r w:rsidR="005451A6" w:rsidRPr="005451A6">
        <w:rPr>
          <w:lang w:val="fr-FR"/>
        </w:rPr>
        <w:t>’</w:t>
      </w:r>
      <w:r w:rsidR="00B53237" w:rsidRPr="005451A6">
        <w:rPr>
          <w:lang w:val="fr-FR"/>
        </w:rPr>
        <w:t xml:space="preserve">espèce </w:t>
      </w:r>
      <w:r w:rsidR="001A7B22" w:rsidRPr="005451A6">
        <w:rPr>
          <w:lang w:val="fr-FR"/>
        </w:rPr>
        <w:t>l</w:t>
      </w:r>
      <w:r w:rsidR="00754A44" w:rsidRPr="005451A6">
        <w:rPr>
          <w:lang w:val="fr-FR"/>
        </w:rPr>
        <w:t xml:space="preserve">e requérant et son avocat pouvaient </w:t>
      </w:r>
      <w:r w:rsidR="006A291B" w:rsidRPr="005451A6">
        <w:rPr>
          <w:lang w:val="fr-FR"/>
        </w:rPr>
        <w:t xml:space="preserve">préalablement </w:t>
      </w:r>
      <w:r w:rsidR="00754A44" w:rsidRPr="005451A6">
        <w:rPr>
          <w:lang w:val="fr-FR"/>
        </w:rPr>
        <w:t>évaluer les chances de voir leur pourvoi en cassation admis</w:t>
      </w:r>
      <w:r w:rsidR="006A291B" w:rsidRPr="005451A6">
        <w:rPr>
          <w:lang w:val="fr-FR"/>
        </w:rPr>
        <w:t>, l</w:t>
      </w:r>
      <w:r w:rsidR="00EC74B2" w:rsidRPr="005451A6">
        <w:rPr>
          <w:lang w:val="fr-FR"/>
        </w:rPr>
        <w:t>a recevabilité</w:t>
      </w:r>
      <w:r w:rsidR="001A7B22" w:rsidRPr="005451A6">
        <w:rPr>
          <w:lang w:val="fr-FR"/>
        </w:rPr>
        <w:t xml:space="preserve"> d</w:t>
      </w:r>
      <w:r w:rsidR="006A291B" w:rsidRPr="005451A6">
        <w:rPr>
          <w:lang w:val="fr-FR"/>
        </w:rPr>
        <w:t xml:space="preserve">e </w:t>
      </w:r>
      <w:r w:rsidR="00E76E51" w:rsidRPr="005451A6">
        <w:rPr>
          <w:lang w:val="fr-FR"/>
        </w:rPr>
        <w:t xml:space="preserve">celui-ci </w:t>
      </w:r>
      <w:r w:rsidR="00D06892" w:rsidRPr="005451A6">
        <w:rPr>
          <w:lang w:val="fr-FR"/>
        </w:rPr>
        <w:t>dépenda</w:t>
      </w:r>
      <w:r w:rsidR="006A291B" w:rsidRPr="005451A6">
        <w:rPr>
          <w:lang w:val="fr-FR"/>
        </w:rPr>
        <w:t>nt d</w:t>
      </w:r>
      <w:r w:rsidR="005451A6" w:rsidRPr="005451A6">
        <w:rPr>
          <w:lang w:val="fr-FR"/>
        </w:rPr>
        <w:t>’</w:t>
      </w:r>
      <w:r w:rsidR="006A291B" w:rsidRPr="005451A6">
        <w:rPr>
          <w:lang w:val="fr-FR"/>
        </w:rPr>
        <w:t>une jurisprudence interne fournie. En effet,</w:t>
      </w:r>
      <w:r w:rsidR="00533124" w:rsidRPr="005451A6">
        <w:rPr>
          <w:lang w:val="fr-FR"/>
        </w:rPr>
        <w:t xml:space="preserve"> la Cour de cassation demandait </w:t>
      </w:r>
      <w:r w:rsidR="00D3050E" w:rsidRPr="005451A6">
        <w:rPr>
          <w:lang w:val="fr-FR"/>
        </w:rPr>
        <w:t>la</w:t>
      </w:r>
      <w:r w:rsidR="00533124" w:rsidRPr="005451A6">
        <w:rPr>
          <w:lang w:val="fr-FR"/>
        </w:rPr>
        <w:t xml:space="preserve"> formulation explicite d</w:t>
      </w:r>
      <w:r w:rsidR="005451A6" w:rsidRPr="005451A6">
        <w:rPr>
          <w:lang w:val="fr-FR"/>
        </w:rPr>
        <w:t>’</w:t>
      </w:r>
      <w:r w:rsidR="00D3050E" w:rsidRPr="005451A6">
        <w:rPr>
          <w:lang w:val="fr-FR"/>
        </w:rPr>
        <w:t>une</w:t>
      </w:r>
      <w:r w:rsidR="00533124" w:rsidRPr="005451A6">
        <w:rPr>
          <w:lang w:val="fr-FR"/>
        </w:rPr>
        <w:t xml:space="preserve"> question en droit</w:t>
      </w:r>
      <w:r w:rsidR="006A291B" w:rsidRPr="005451A6">
        <w:rPr>
          <w:lang w:val="fr-FR"/>
        </w:rPr>
        <w:t>,</w:t>
      </w:r>
      <w:r w:rsidR="00D3050E" w:rsidRPr="005451A6">
        <w:rPr>
          <w:lang w:val="fr-FR"/>
        </w:rPr>
        <w:t xml:space="preserve"> à conclusion de chaque moyen</w:t>
      </w:r>
      <w:r w:rsidR="006A291B" w:rsidRPr="005451A6">
        <w:rPr>
          <w:lang w:val="fr-FR"/>
        </w:rPr>
        <w:t>, qui</w:t>
      </w:r>
      <w:r w:rsidR="00533124" w:rsidRPr="005451A6">
        <w:rPr>
          <w:lang w:val="fr-FR"/>
        </w:rPr>
        <w:t xml:space="preserve"> devait</w:t>
      </w:r>
      <w:r w:rsidR="00D3050E" w:rsidRPr="005451A6">
        <w:rPr>
          <w:lang w:val="fr-FR"/>
        </w:rPr>
        <w:t xml:space="preserve"> </w:t>
      </w:r>
      <w:r w:rsidR="006A291B" w:rsidRPr="005451A6">
        <w:rPr>
          <w:lang w:val="fr-FR"/>
        </w:rPr>
        <w:t xml:space="preserve">être </w:t>
      </w:r>
      <w:r w:rsidR="00533124" w:rsidRPr="005451A6">
        <w:rPr>
          <w:lang w:val="fr-FR"/>
        </w:rPr>
        <w:t>la « clé de lecture des raisons présentées (</w:t>
      </w:r>
      <w:r w:rsidR="00C72B00" w:rsidRPr="005451A6">
        <w:rPr>
          <w:lang w:val="fr-FR"/>
        </w:rPr>
        <w:t>...</w:t>
      </w:r>
      <w:r w:rsidR="00533124" w:rsidRPr="005451A6">
        <w:rPr>
          <w:lang w:val="fr-FR"/>
        </w:rPr>
        <w:t>) et permettre à la Cour (de cassation) de répondre à celle-ci en fixant la « </w:t>
      </w:r>
      <w:r w:rsidR="00533124" w:rsidRPr="005451A6">
        <w:rPr>
          <w:i/>
          <w:lang w:val="fr-FR"/>
        </w:rPr>
        <w:t>regula iuris</w:t>
      </w:r>
      <w:r w:rsidR="00533124" w:rsidRPr="005451A6">
        <w:rPr>
          <w:lang w:val="fr-FR"/>
        </w:rPr>
        <w:t> » (</w:t>
      </w:r>
      <w:r w:rsidR="00C72B00" w:rsidRPr="005451A6">
        <w:rPr>
          <w:lang w:val="fr-FR"/>
        </w:rPr>
        <w:t>...</w:t>
      </w:r>
      <w:r w:rsidR="00533124" w:rsidRPr="005451A6">
        <w:rPr>
          <w:lang w:val="fr-FR"/>
        </w:rPr>
        <w:t>) susceptible de trouver application dans des cas similaires » (voir paragraphe 2</w:t>
      </w:r>
      <w:r w:rsidR="00542CA9" w:rsidRPr="005451A6">
        <w:rPr>
          <w:lang w:val="fr-FR"/>
        </w:rPr>
        <w:t>3</w:t>
      </w:r>
      <w:r w:rsidR="00CB738C" w:rsidRPr="005451A6">
        <w:rPr>
          <w:lang w:val="fr-FR"/>
        </w:rPr>
        <w:t xml:space="preserve"> ci-dessus</w:t>
      </w:r>
      <w:r w:rsidR="00533124" w:rsidRPr="005451A6">
        <w:rPr>
          <w:lang w:val="fr-FR"/>
        </w:rPr>
        <w:t>).</w:t>
      </w:r>
    </w:p>
    <w:p w:rsidR="00DE2545" w:rsidRPr="005451A6" w:rsidRDefault="0040725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44</w:t>
      </w:r>
      <w:r w:rsidRPr="005451A6">
        <w:rPr>
          <w:lang w:val="fr-FR"/>
        </w:rPr>
        <w:fldChar w:fldCharType="end"/>
      </w:r>
      <w:r w:rsidRPr="005451A6">
        <w:rPr>
          <w:lang w:val="fr-FR"/>
        </w:rPr>
        <w:t>.  </w:t>
      </w:r>
      <w:r w:rsidR="000A348F" w:rsidRPr="005451A6">
        <w:rPr>
          <w:lang w:val="fr-FR"/>
        </w:rPr>
        <w:t xml:space="preserve">La Cour relève </w:t>
      </w:r>
      <w:r w:rsidRPr="005451A6">
        <w:rPr>
          <w:lang w:val="fr-FR"/>
        </w:rPr>
        <w:t xml:space="preserve">que la règle appliquée par la Cour de cassation pour se prononcer sur </w:t>
      </w:r>
      <w:r w:rsidR="00E76E51" w:rsidRPr="005451A6">
        <w:rPr>
          <w:lang w:val="fr-FR"/>
        </w:rPr>
        <w:t xml:space="preserve">la recevabilité </w:t>
      </w:r>
      <w:r w:rsidRPr="005451A6">
        <w:rPr>
          <w:lang w:val="fr-FR"/>
        </w:rPr>
        <w:t>du pourvoi n</w:t>
      </w:r>
      <w:r w:rsidR="005451A6" w:rsidRPr="005451A6">
        <w:rPr>
          <w:lang w:val="fr-FR"/>
        </w:rPr>
        <w:t>’</w:t>
      </w:r>
      <w:r w:rsidRPr="005451A6">
        <w:rPr>
          <w:lang w:val="fr-FR"/>
        </w:rPr>
        <w:t>est pas de construction jurisprudentielle mais introduite par le législateur à travers l</w:t>
      </w:r>
      <w:r w:rsidR="005451A6" w:rsidRPr="005451A6">
        <w:rPr>
          <w:lang w:val="fr-FR"/>
        </w:rPr>
        <w:t>’</w:t>
      </w:r>
      <w:r w:rsidRPr="005451A6">
        <w:rPr>
          <w:lang w:val="fr-FR"/>
        </w:rPr>
        <w:t>article</w:t>
      </w:r>
      <w:r w:rsidR="000A4EF5" w:rsidRPr="005451A6">
        <w:rPr>
          <w:lang w:val="fr-FR"/>
        </w:rPr>
        <w:t> </w:t>
      </w:r>
      <w:r w:rsidRPr="005451A6">
        <w:rPr>
          <w:lang w:val="fr-FR"/>
        </w:rPr>
        <w:t>366</w:t>
      </w:r>
      <w:r w:rsidRPr="005451A6">
        <w:rPr>
          <w:i/>
          <w:lang w:val="fr-FR"/>
        </w:rPr>
        <w:t>bis</w:t>
      </w:r>
      <w:r w:rsidRPr="005451A6">
        <w:rPr>
          <w:lang w:val="fr-FR"/>
        </w:rPr>
        <w:t xml:space="preserve"> du code de procédure civile (voir, </w:t>
      </w:r>
      <w:r w:rsidRPr="005451A6">
        <w:rPr>
          <w:i/>
          <w:lang w:val="fr-FR"/>
        </w:rPr>
        <w:t>a contrario, Kemp et autres</w:t>
      </w:r>
      <w:r w:rsidR="000A348F" w:rsidRPr="005451A6">
        <w:rPr>
          <w:lang w:val="fr-FR"/>
        </w:rPr>
        <w:t>, précité</w:t>
      </w:r>
      <w:r w:rsidRPr="005451A6">
        <w:rPr>
          <w:lang w:val="fr-FR"/>
        </w:rPr>
        <w:t>, §</w:t>
      </w:r>
      <w:r w:rsidR="000A4EF5" w:rsidRPr="005451A6">
        <w:rPr>
          <w:lang w:val="fr-FR"/>
        </w:rPr>
        <w:t> </w:t>
      </w:r>
      <w:r w:rsidRPr="005451A6">
        <w:rPr>
          <w:lang w:val="fr-FR"/>
        </w:rPr>
        <w:t>5</w:t>
      </w:r>
      <w:r w:rsidR="000454E9" w:rsidRPr="005451A6">
        <w:rPr>
          <w:lang w:val="fr-FR"/>
        </w:rPr>
        <w:t>2</w:t>
      </w:r>
      <w:r w:rsidRPr="005451A6">
        <w:rPr>
          <w:lang w:val="fr-FR"/>
        </w:rPr>
        <w:t xml:space="preserve">, et </w:t>
      </w:r>
      <w:r w:rsidRPr="005451A6">
        <w:rPr>
          <w:i/>
          <w:lang w:val="fr-FR"/>
        </w:rPr>
        <w:t>Dattel c. Luxembourg (n</w:t>
      </w:r>
      <w:r w:rsidRPr="005451A6">
        <w:rPr>
          <w:i/>
          <w:vertAlign w:val="superscript"/>
          <w:lang w:val="fr-FR"/>
        </w:rPr>
        <w:t>o</w:t>
      </w:r>
      <w:r w:rsidRPr="005451A6">
        <w:rPr>
          <w:i/>
          <w:lang w:val="fr-FR"/>
        </w:rPr>
        <w:t xml:space="preserve"> 2)</w:t>
      </w:r>
      <w:r w:rsidRPr="005451A6">
        <w:rPr>
          <w:lang w:val="fr-FR"/>
        </w:rPr>
        <w:t>, n</w:t>
      </w:r>
      <w:r w:rsidRPr="005451A6">
        <w:rPr>
          <w:vertAlign w:val="superscript"/>
          <w:lang w:val="fr-FR"/>
        </w:rPr>
        <w:t>o</w:t>
      </w:r>
      <w:r w:rsidRPr="005451A6">
        <w:rPr>
          <w:lang w:val="fr-FR"/>
        </w:rPr>
        <w:t xml:space="preserve"> 18522/06</w:t>
      </w:r>
      <w:r w:rsidRPr="005451A6">
        <w:rPr>
          <w:snapToGrid w:val="0"/>
          <w:lang w:val="fr-FR"/>
        </w:rPr>
        <w:t xml:space="preserve">, § 37, 30 </w:t>
      </w:r>
      <w:r w:rsidRPr="005451A6">
        <w:rPr>
          <w:lang w:val="fr-FR"/>
        </w:rPr>
        <w:t>juillet</w:t>
      </w:r>
      <w:r w:rsidRPr="005451A6">
        <w:rPr>
          <w:snapToGrid w:val="0"/>
          <w:lang w:val="fr-FR"/>
        </w:rPr>
        <w:t xml:space="preserve"> 2009</w:t>
      </w:r>
      <w:r w:rsidRPr="005451A6">
        <w:rPr>
          <w:lang w:val="fr-FR"/>
        </w:rPr>
        <w:t>).</w:t>
      </w:r>
    </w:p>
    <w:p w:rsidR="0038278D" w:rsidRPr="005451A6" w:rsidRDefault="00A36E93"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45</w:t>
      </w:r>
      <w:r w:rsidRPr="005451A6">
        <w:rPr>
          <w:lang w:val="fr-FR"/>
        </w:rPr>
        <w:fldChar w:fldCharType="end"/>
      </w:r>
      <w:r w:rsidRPr="005451A6">
        <w:rPr>
          <w:lang w:val="fr-FR"/>
        </w:rPr>
        <w:t>.  Sur ce point,</w:t>
      </w:r>
      <w:r w:rsidR="001406C3" w:rsidRPr="005451A6">
        <w:rPr>
          <w:lang w:val="fr-FR"/>
        </w:rPr>
        <w:t xml:space="preserve"> </w:t>
      </w:r>
      <w:r w:rsidRPr="005451A6">
        <w:rPr>
          <w:lang w:val="fr-FR"/>
        </w:rPr>
        <w:t xml:space="preserve">la Cour observe </w:t>
      </w:r>
      <w:r w:rsidR="00F62080" w:rsidRPr="005451A6">
        <w:rPr>
          <w:lang w:val="fr-FR"/>
        </w:rPr>
        <w:t xml:space="preserve">également </w:t>
      </w:r>
      <w:r w:rsidRPr="005451A6">
        <w:rPr>
          <w:lang w:val="fr-FR"/>
        </w:rPr>
        <w:t>que la nouvelle condition de</w:t>
      </w:r>
      <w:r w:rsidR="00D3050E" w:rsidRPr="005451A6">
        <w:rPr>
          <w:lang w:val="fr-FR"/>
        </w:rPr>
        <w:t xml:space="preserve"> recevabilité</w:t>
      </w:r>
      <w:r w:rsidRPr="005451A6">
        <w:rPr>
          <w:lang w:val="fr-FR"/>
        </w:rPr>
        <w:t xml:space="preserve"> </w:t>
      </w:r>
      <w:r w:rsidR="008C2FF2" w:rsidRPr="005451A6">
        <w:rPr>
          <w:lang w:val="fr-FR"/>
        </w:rPr>
        <w:t xml:space="preserve">avait été </w:t>
      </w:r>
      <w:r w:rsidRPr="005451A6">
        <w:rPr>
          <w:lang w:val="fr-FR"/>
        </w:rPr>
        <w:t>introduite le 2 février 2006, bien avant la présentation</w:t>
      </w:r>
      <w:r w:rsidR="00B53237" w:rsidRPr="005451A6">
        <w:rPr>
          <w:lang w:val="fr-FR"/>
        </w:rPr>
        <w:t>, le 13 novembre 2007,</w:t>
      </w:r>
      <w:r w:rsidRPr="005451A6">
        <w:rPr>
          <w:lang w:val="fr-FR"/>
        </w:rPr>
        <w:t xml:space="preserve"> du pourvoi </w:t>
      </w:r>
      <w:r w:rsidR="00B53237" w:rsidRPr="005451A6">
        <w:rPr>
          <w:lang w:val="fr-FR"/>
        </w:rPr>
        <w:t xml:space="preserve">litigieux. </w:t>
      </w:r>
      <w:r w:rsidRPr="005451A6">
        <w:rPr>
          <w:lang w:val="fr-FR"/>
        </w:rPr>
        <w:t xml:space="preserve">Le conseil du requérant était donc en mesure de connaître ses obligations en </w:t>
      </w:r>
      <w:r w:rsidR="0029445D" w:rsidRPr="005451A6">
        <w:rPr>
          <w:lang w:val="fr-FR"/>
        </w:rPr>
        <w:t xml:space="preserve">la </w:t>
      </w:r>
      <w:r w:rsidRPr="005451A6">
        <w:rPr>
          <w:lang w:val="fr-FR"/>
        </w:rPr>
        <w:t>matière, en s</w:t>
      </w:r>
      <w:r w:rsidR="005451A6" w:rsidRPr="005451A6">
        <w:rPr>
          <w:lang w:val="fr-FR"/>
        </w:rPr>
        <w:t>’</w:t>
      </w:r>
      <w:r w:rsidR="0029445D" w:rsidRPr="005451A6">
        <w:rPr>
          <w:lang w:val="fr-FR"/>
        </w:rPr>
        <w:t>appuyant</w:t>
      </w:r>
      <w:r w:rsidRPr="005451A6">
        <w:rPr>
          <w:lang w:val="fr-FR"/>
        </w:rPr>
        <w:t xml:space="preserve"> sur le libellé de l</w:t>
      </w:r>
      <w:r w:rsidR="005451A6" w:rsidRPr="005451A6">
        <w:rPr>
          <w:lang w:val="fr-FR"/>
        </w:rPr>
        <w:t>’</w:t>
      </w:r>
      <w:r w:rsidRPr="005451A6">
        <w:rPr>
          <w:lang w:val="fr-FR"/>
        </w:rPr>
        <w:t>article susmentionné et à l</w:t>
      </w:r>
      <w:r w:rsidR="005451A6" w:rsidRPr="005451A6">
        <w:rPr>
          <w:lang w:val="fr-FR"/>
        </w:rPr>
        <w:t>’</w:t>
      </w:r>
      <w:r w:rsidRPr="005451A6">
        <w:rPr>
          <w:lang w:val="fr-FR"/>
        </w:rPr>
        <w:t>aide de l</w:t>
      </w:r>
      <w:r w:rsidR="005451A6" w:rsidRPr="005451A6">
        <w:rPr>
          <w:lang w:val="fr-FR"/>
        </w:rPr>
        <w:t>’</w:t>
      </w:r>
      <w:r w:rsidRPr="005451A6">
        <w:rPr>
          <w:lang w:val="fr-FR"/>
        </w:rPr>
        <w:t xml:space="preserve">interprétation de la Cour de cassation, laquelle présentait une clarté et une cohérence suffisantes (voir </w:t>
      </w:r>
      <w:r w:rsidRPr="005451A6">
        <w:rPr>
          <w:i/>
          <w:lang w:val="fr-FR"/>
        </w:rPr>
        <w:t>Levages Prestations Services c. France</w:t>
      </w:r>
      <w:r w:rsidRPr="005451A6">
        <w:rPr>
          <w:lang w:val="fr-FR"/>
        </w:rPr>
        <w:t xml:space="preserve">, 23 octobre 1996, § 42, </w:t>
      </w:r>
      <w:r w:rsidRPr="005451A6">
        <w:rPr>
          <w:i/>
          <w:lang w:val="fr-FR"/>
        </w:rPr>
        <w:t>Recueil des arrêts et décisions</w:t>
      </w:r>
      <w:r w:rsidRPr="005451A6">
        <w:rPr>
          <w:lang w:val="fr-FR"/>
        </w:rPr>
        <w:t xml:space="preserve"> 1996</w:t>
      </w:r>
      <w:r w:rsidRPr="005451A6">
        <w:rPr>
          <w:lang w:val="fr-FR"/>
        </w:rPr>
        <w:noBreakHyphen/>
        <w:t xml:space="preserve">V). La Cour rappelle </w:t>
      </w:r>
      <w:r w:rsidR="00E76E51" w:rsidRPr="005451A6">
        <w:rPr>
          <w:lang w:val="fr-FR"/>
        </w:rPr>
        <w:t xml:space="preserve">par ailleurs </w:t>
      </w:r>
      <w:r w:rsidRPr="005451A6">
        <w:rPr>
          <w:lang w:val="fr-FR"/>
        </w:rPr>
        <w:t>que les avocats attitrés à représenter les parties devant la Cour de cassation</w:t>
      </w:r>
      <w:r w:rsidR="0029445D" w:rsidRPr="005451A6">
        <w:rPr>
          <w:lang w:val="fr-FR"/>
        </w:rPr>
        <w:t xml:space="preserve"> italienne</w:t>
      </w:r>
      <w:r w:rsidRPr="005451A6">
        <w:rPr>
          <w:lang w:val="fr-FR"/>
        </w:rPr>
        <w:t xml:space="preserve"> doivent obligatoirement être inscrits dans une liste spéciale sur la base de certaines qualités requises (voir, </w:t>
      </w:r>
      <w:r w:rsidRPr="005451A6">
        <w:rPr>
          <w:i/>
          <w:lang w:val="fr-FR"/>
        </w:rPr>
        <w:t>a contrario</w:t>
      </w:r>
      <w:r w:rsidRPr="005451A6">
        <w:rPr>
          <w:lang w:val="fr-FR"/>
        </w:rPr>
        <w:t xml:space="preserve">, </w:t>
      </w:r>
      <w:r w:rsidRPr="005451A6">
        <w:rPr>
          <w:i/>
          <w:lang w:val="fr-FR"/>
        </w:rPr>
        <w:t>Dattel c. Luxembourg</w:t>
      </w:r>
      <w:r w:rsidRPr="005451A6">
        <w:rPr>
          <w:lang w:val="fr-FR"/>
        </w:rPr>
        <w:t xml:space="preserve"> (n</w:t>
      </w:r>
      <w:r w:rsidR="00FF6D0E" w:rsidRPr="005451A6">
        <w:rPr>
          <w:vertAlign w:val="superscript"/>
          <w:lang w:val="fr-FR"/>
        </w:rPr>
        <w:t>o</w:t>
      </w:r>
      <w:r w:rsidRPr="005451A6">
        <w:rPr>
          <w:lang w:val="fr-FR"/>
        </w:rPr>
        <w:t xml:space="preserve"> 2), </w:t>
      </w:r>
      <w:r w:rsidR="005D2C52" w:rsidRPr="005451A6">
        <w:rPr>
          <w:lang w:val="fr-FR"/>
        </w:rPr>
        <w:t>précité</w:t>
      </w:r>
      <w:r w:rsidRPr="005451A6">
        <w:rPr>
          <w:lang w:val="fr-FR"/>
        </w:rPr>
        <w:t>, §</w:t>
      </w:r>
      <w:r w:rsidR="001E0ED7" w:rsidRPr="005451A6">
        <w:rPr>
          <w:lang w:val="fr-FR"/>
        </w:rPr>
        <w:t> </w:t>
      </w:r>
      <w:r w:rsidRPr="005451A6">
        <w:rPr>
          <w:lang w:val="fr-FR"/>
        </w:rPr>
        <w:t>43).</w:t>
      </w:r>
    </w:p>
    <w:p w:rsidR="00DE2545" w:rsidRPr="005451A6" w:rsidRDefault="00D60382"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46</w:t>
      </w:r>
      <w:r w:rsidRPr="005451A6">
        <w:rPr>
          <w:lang w:val="fr-FR"/>
        </w:rPr>
        <w:fldChar w:fldCharType="end"/>
      </w:r>
      <w:r w:rsidRPr="005451A6">
        <w:rPr>
          <w:lang w:val="fr-FR"/>
        </w:rPr>
        <w:t>.  Enfin</w:t>
      </w:r>
      <w:r w:rsidR="009903E6" w:rsidRPr="005451A6">
        <w:rPr>
          <w:lang w:val="fr-FR"/>
        </w:rPr>
        <w:t>, la Cour ne saurait douter de l</w:t>
      </w:r>
      <w:r w:rsidR="005451A6" w:rsidRPr="005451A6">
        <w:rPr>
          <w:lang w:val="fr-FR"/>
        </w:rPr>
        <w:t>’</w:t>
      </w:r>
      <w:r w:rsidR="009903E6" w:rsidRPr="005451A6">
        <w:rPr>
          <w:lang w:val="fr-FR"/>
        </w:rPr>
        <w:t>affirmation du Gouvernement défendeur selon laquelle l</w:t>
      </w:r>
      <w:r w:rsidR="005451A6" w:rsidRPr="005451A6">
        <w:rPr>
          <w:lang w:val="fr-FR"/>
        </w:rPr>
        <w:t>’</w:t>
      </w:r>
      <w:r w:rsidR="009903E6" w:rsidRPr="005451A6">
        <w:rPr>
          <w:lang w:val="fr-FR"/>
        </w:rPr>
        <w:t>abrogation de l</w:t>
      </w:r>
      <w:r w:rsidR="005451A6" w:rsidRPr="005451A6">
        <w:rPr>
          <w:lang w:val="fr-FR"/>
        </w:rPr>
        <w:t>’</w:t>
      </w:r>
      <w:r w:rsidR="009903E6" w:rsidRPr="005451A6">
        <w:rPr>
          <w:lang w:val="fr-FR"/>
        </w:rPr>
        <w:t>article susmentionné, faite par la loi n</w:t>
      </w:r>
      <w:r w:rsidR="001406C3" w:rsidRPr="005451A6">
        <w:rPr>
          <w:vertAlign w:val="superscript"/>
          <w:lang w:val="fr-FR"/>
        </w:rPr>
        <w:t xml:space="preserve">o </w:t>
      </w:r>
      <w:r w:rsidR="009903E6" w:rsidRPr="005451A6">
        <w:rPr>
          <w:lang w:val="fr-FR"/>
        </w:rPr>
        <w:t xml:space="preserve">69 du 18 juin 2009, </w:t>
      </w:r>
      <w:r w:rsidR="00E76E51" w:rsidRPr="005451A6">
        <w:rPr>
          <w:lang w:val="fr-FR"/>
        </w:rPr>
        <w:t xml:space="preserve">résulte </w:t>
      </w:r>
      <w:r w:rsidR="009903E6" w:rsidRPr="005451A6">
        <w:rPr>
          <w:lang w:val="fr-FR"/>
        </w:rPr>
        <w:t>de la réorganisation de la procédure devant la Cour de cassation et n</w:t>
      </w:r>
      <w:r w:rsidR="005451A6" w:rsidRPr="005451A6">
        <w:rPr>
          <w:lang w:val="fr-FR"/>
        </w:rPr>
        <w:t>’</w:t>
      </w:r>
      <w:r w:rsidR="00E76E51" w:rsidRPr="005451A6">
        <w:rPr>
          <w:lang w:val="fr-FR"/>
        </w:rPr>
        <w:t xml:space="preserve">est </w:t>
      </w:r>
      <w:r w:rsidR="009903E6" w:rsidRPr="005451A6">
        <w:rPr>
          <w:lang w:val="fr-FR"/>
        </w:rPr>
        <w:t>pas la conséquence d</w:t>
      </w:r>
      <w:r w:rsidR="005451A6" w:rsidRPr="005451A6">
        <w:rPr>
          <w:lang w:val="fr-FR"/>
        </w:rPr>
        <w:t>’</w:t>
      </w:r>
      <w:r w:rsidR="009903E6" w:rsidRPr="005451A6">
        <w:rPr>
          <w:lang w:val="fr-FR"/>
        </w:rPr>
        <w:t>une évaluation négative de la disposition citée (voir paragraphe 3</w:t>
      </w:r>
      <w:r w:rsidR="00596E07" w:rsidRPr="005451A6">
        <w:rPr>
          <w:lang w:val="fr-FR"/>
        </w:rPr>
        <w:t>1</w:t>
      </w:r>
      <w:r w:rsidR="009903E6" w:rsidRPr="005451A6">
        <w:rPr>
          <w:lang w:val="fr-FR"/>
        </w:rPr>
        <w:t>).</w:t>
      </w:r>
    </w:p>
    <w:p w:rsidR="00DE2545" w:rsidRPr="005451A6" w:rsidRDefault="00596E07" w:rsidP="005451A6">
      <w:pPr>
        <w:pStyle w:val="ECHRPara"/>
        <w:rPr>
          <w:lang w:val="fr-FR"/>
        </w:rPr>
      </w:pPr>
      <w:r w:rsidRPr="005451A6">
        <w:rPr>
          <w:lang w:val="fr-FR"/>
        </w:rPr>
        <w:fldChar w:fldCharType="begin"/>
      </w:r>
      <w:r w:rsidRPr="005451A6">
        <w:rPr>
          <w:lang w:val="fr-FR"/>
        </w:rPr>
        <w:instrText xml:space="preserve"> SEQ level0 \*arabic </w:instrText>
      </w:r>
      <w:r w:rsidRPr="005451A6">
        <w:rPr>
          <w:lang w:val="fr-FR"/>
        </w:rPr>
        <w:fldChar w:fldCharType="separate"/>
      </w:r>
      <w:r w:rsidR="005451A6" w:rsidRPr="005451A6">
        <w:rPr>
          <w:noProof/>
          <w:lang w:val="fr-FR"/>
        </w:rPr>
        <w:t>47</w:t>
      </w:r>
      <w:r w:rsidRPr="005451A6">
        <w:rPr>
          <w:lang w:val="fr-FR"/>
        </w:rPr>
        <w:fldChar w:fldCharType="end"/>
      </w:r>
      <w:r w:rsidRPr="005451A6">
        <w:rPr>
          <w:lang w:val="fr-FR"/>
        </w:rPr>
        <w:t>.  </w:t>
      </w:r>
      <w:r w:rsidR="00533124" w:rsidRPr="005451A6">
        <w:rPr>
          <w:lang w:val="fr-FR"/>
        </w:rPr>
        <w:t xml:space="preserve">Dans ces conditions, </w:t>
      </w:r>
      <w:r w:rsidR="00A36E93" w:rsidRPr="005451A6">
        <w:rPr>
          <w:lang w:val="fr-FR"/>
        </w:rPr>
        <w:t xml:space="preserve">la </w:t>
      </w:r>
      <w:r w:rsidR="003857E9" w:rsidRPr="005451A6">
        <w:rPr>
          <w:lang w:val="fr-FR"/>
        </w:rPr>
        <w:t>Cour estime que l</w:t>
      </w:r>
      <w:r w:rsidR="00821759" w:rsidRPr="005451A6">
        <w:rPr>
          <w:lang w:val="fr-FR"/>
        </w:rPr>
        <w:t>e</w:t>
      </w:r>
      <w:r w:rsidR="003857E9" w:rsidRPr="005451A6">
        <w:rPr>
          <w:lang w:val="fr-FR"/>
        </w:rPr>
        <w:t xml:space="preserve"> requérant n</w:t>
      </w:r>
      <w:r w:rsidR="005451A6" w:rsidRPr="005451A6">
        <w:rPr>
          <w:lang w:val="fr-FR"/>
        </w:rPr>
        <w:t>’</w:t>
      </w:r>
      <w:r w:rsidR="003857E9" w:rsidRPr="005451A6">
        <w:rPr>
          <w:lang w:val="fr-FR"/>
        </w:rPr>
        <w:t>a pas subi une entrave disproportionnée à son droit à un tribunal et que, dès lors, il n</w:t>
      </w:r>
      <w:r w:rsidR="005451A6" w:rsidRPr="005451A6">
        <w:rPr>
          <w:lang w:val="fr-FR"/>
        </w:rPr>
        <w:t>’</w:t>
      </w:r>
      <w:r w:rsidR="003857E9" w:rsidRPr="005451A6">
        <w:rPr>
          <w:lang w:val="fr-FR"/>
        </w:rPr>
        <w:t xml:space="preserve">y a pas eu atteinte à la substance de </w:t>
      </w:r>
      <w:r w:rsidR="00821759" w:rsidRPr="005451A6">
        <w:rPr>
          <w:lang w:val="fr-FR"/>
        </w:rPr>
        <w:t>ce</w:t>
      </w:r>
      <w:r w:rsidR="003857E9" w:rsidRPr="005451A6">
        <w:rPr>
          <w:lang w:val="fr-FR"/>
        </w:rPr>
        <w:t xml:space="preserve"> droit. Partant, il n</w:t>
      </w:r>
      <w:r w:rsidR="005451A6" w:rsidRPr="005451A6">
        <w:rPr>
          <w:lang w:val="fr-FR"/>
        </w:rPr>
        <w:t>’</w:t>
      </w:r>
      <w:r w:rsidR="003857E9" w:rsidRPr="005451A6">
        <w:rPr>
          <w:lang w:val="fr-FR"/>
        </w:rPr>
        <w:t xml:space="preserve">y a pas eu violation de </w:t>
      </w:r>
      <w:r w:rsidR="00821759" w:rsidRPr="005451A6">
        <w:rPr>
          <w:lang w:val="fr-FR"/>
        </w:rPr>
        <w:t>l</w:t>
      </w:r>
      <w:r w:rsidR="005451A6" w:rsidRPr="005451A6">
        <w:rPr>
          <w:lang w:val="fr-FR"/>
        </w:rPr>
        <w:t>’</w:t>
      </w:r>
      <w:r w:rsidR="00821759" w:rsidRPr="005451A6">
        <w:rPr>
          <w:lang w:val="fr-FR"/>
        </w:rPr>
        <w:t>article 6 § 1 de la Convention</w:t>
      </w:r>
      <w:r w:rsidR="00DE2545" w:rsidRPr="005451A6">
        <w:rPr>
          <w:lang w:val="fr-FR"/>
        </w:rPr>
        <w:t>.</w:t>
      </w:r>
    </w:p>
    <w:p w:rsidR="00FF6D0E" w:rsidRPr="005451A6" w:rsidRDefault="00FF6D0E" w:rsidP="005451A6">
      <w:pPr>
        <w:pStyle w:val="ECHRTitle1"/>
        <w:rPr>
          <w:lang w:val="fr-FR"/>
        </w:rPr>
      </w:pPr>
      <w:r w:rsidRPr="005451A6">
        <w:rPr>
          <w:lang w:val="fr-FR"/>
        </w:rPr>
        <w:lastRenderedPageBreak/>
        <w:t>PAR CES MOTIFS, LA COUR, À L</w:t>
      </w:r>
      <w:r w:rsidR="005451A6" w:rsidRPr="005451A6">
        <w:rPr>
          <w:lang w:val="fr-FR"/>
        </w:rPr>
        <w:t>’</w:t>
      </w:r>
      <w:r w:rsidRPr="005451A6">
        <w:rPr>
          <w:lang w:val="fr-FR"/>
        </w:rPr>
        <w:t>UNANIMITÉ,</w:t>
      </w:r>
    </w:p>
    <w:p w:rsidR="00FB2B45" w:rsidRPr="005451A6" w:rsidRDefault="00FB2B45" w:rsidP="005451A6">
      <w:pPr>
        <w:pStyle w:val="JuList"/>
        <w:keepNext/>
        <w:keepLines/>
        <w:rPr>
          <w:lang w:val="fr-FR"/>
        </w:rPr>
      </w:pPr>
      <w:r w:rsidRPr="005451A6">
        <w:rPr>
          <w:lang w:val="fr-FR"/>
        </w:rPr>
        <w:t>1.  </w:t>
      </w:r>
      <w:r w:rsidRPr="005451A6">
        <w:rPr>
          <w:i/>
          <w:lang w:val="fr-FR"/>
        </w:rPr>
        <w:t>Déclare</w:t>
      </w:r>
      <w:r w:rsidRPr="005451A6">
        <w:rPr>
          <w:lang w:val="fr-FR"/>
        </w:rPr>
        <w:t xml:space="preserve"> </w:t>
      </w:r>
      <w:r w:rsidR="000C6143" w:rsidRPr="005451A6">
        <w:rPr>
          <w:lang w:val="fr-FR"/>
        </w:rPr>
        <w:t>la requête recevable</w:t>
      </w:r>
      <w:r w:rsidR="00097D97" w:rsidRPr="005451A6">
        <w:rPr>
          <w:lang w:val="fr-FR"/>
        </w:rPr>
        <w:t> ;</w:t>
      </w:r>
    </w:p>
    <w:p w:rsidR="00E77CB3" w:rsidRPr="005451A6" w:rsidRDefault="00E77CB3" w:rsidP="005451A6">
      <w:pPr>
        <w:pStyle w:val="JuList"/>
        <w:keepNext/>
        <w:keepLines/>
        <w:rPr>
          <w:lang w:val="fr-FR"/>
        </w:rPr>
      </w:pPr>
    </w:p>
    <w:p w:rsidR="00C75123" w:rsidRPr="005451A6" w:rsidRDefault="00C75123" w:rsidP="005451A6">
      <w:pPr>
        <w:pStyle w:val="JuList"/>
        <w:keepNext/>
        <w:keepLines/>
        <w:rPr>
          <w:lang w:val="fr-FR"/>
        </w:rPr>
      </w:pPr>
      <w:r w:rsidRPr="005451A6">
        <w:rPr>
          <w:lang w:val="fr-FR"/>
        </w:rPr>
        <w:t>2</w:t>
      </w:r>
      <w:r w:rsidR="00E77CB3" w:rsidRPr="005451A6">
        <w:rPr>
          <w:lang w:val="fr-FR"/>
        </w:rPr>
        <w:t>.  </w:t>
      </w:r>
      <w:r w:rsidR="00E77CB3" w:rsidRPr="005451A6">
        <w:rPr>
          <w:i/>
          <w:lang w:val="fr-FR"/>
        </w:rPr>
        <w:t>Dit</w:t>
      </w:r>
      <w:r w:rsidR="00E77CB3" w:rsidRPr="005451A6">
        <w:rPr>
          <w:lang w:val="fr-FR"/>
        </w:rPr>
        <w:t xml:space="preserve"> qu</w:t>
      </w:r>
      <w:r w:rsidR="005451A6" w:rsidRPr="005451A6">
        <w:rPr>
          <w:lang w:val="fr-FR"/>
        </w:rPr>
        <w:t>’</w:t>
      </w:r>
      <w:r w:rsidR="00E77CB3" w:rsidRPr="005451A6">
        <w:rPr>
          <w:lang w:val="fr-FR"/>
        </w:rPr>
        <w:t xml:space="preserve">il </w:t>
      </w:r>
      <w:r w:rsidR="00A36E93" w:rsidRPr="005451A6">
        <w:rPr>
          <w:lang w:val="fr-FR"/>
        </w:rPr>
        <w:t>n</w:t>
      </w:r>
      <w:r w:rsidR="005451A6" w:rsidRPr="005451A6">
        <w:rPr>
          <w:lang w:val="fr-FR"/>
        </w:rPr>
        <w:t>’</w:t>
      </w:r>
      <w:r w:rsidR="00E77CB3" w:rsidRPr="005451A6">
        <w:rPr>
          <w:lang w:val="fr-FR"/>
        </w:rPr>
        <w:t>y</w:t>
      </w:r>
      <w:r w:rsidR="00A36E93" w:rsidRPr="005451A6">
        <w:rPr>
          <w:lang w:val="fr-FR"/>
        </w:rPr>
        <w:t xml:space="preserve"> pas</w:t>
      </w:r>
      <w:r w:rsidR="00E77CB3" w:rsidRPr="005451A6">
        <w:rPr>
          <w:lang w:val="fr-FR"/>
        </w:rPr>
        <w:t xml:space="preserve"> a eu violation de l</w:t>
      </w:r>
      <w:r w:rsidR="005451A6" w:rsidRPr="005451A6">
        <w:rPr>
          <w:lang w:val="fr-FR"/>
        </w:rPr>
        <w:t>’</w:t>
      </w:r>
      <w:r w:rsidR="00E77CB3" w:rsidRPr="005451A6">
        <w:rPr>
          <w:lang w:val="fr-FR"/>
        </w:rPr>
        <w:t xml:space="preserve">article </w:t>
      </w:r>
      <w:r w:rsidR="00A36E93" w:rsidRPr="005451A6">
        <w:rPr>
          <w:lang w:val="fr-FR"/>
        </w:rPr>
        <w:t>6 § 1</w:t>
      </w:r>
      <w:r w:rsidRPr="005451A6">
        <w:rPr>
          <w:lang w:val="fr-FR"/>
        </w:rPr>
        <w:t xml:space="preserve"> de la Convention.</w:t>
      </w:r>
    </w:p>
    <w:p w:rsidR="00E77CB3" w:rsidRPr="005451A6" w:rsidRDefault="00E77CB3" w:rsidP="005451A6">
      <w:pPr>
        <w:pStyle w:val="JuParaLast"/>
        <w:rPr>
          <w:lang w:val="fr-FR"/>
        </w:rPr>
      </w:pPr>
      <w:r w:rsidRPr="005451A6">
        <w:rPr>
          <w:lang w:val="fr-FR"/>
        </w:rPr>
        <w:t>Fait en français, puis communiqué par écrit le</w:t>
      </w:r>
      <w:r w:rsidR="00097D97" w:rsidRPr="005451A6">
        <w:rPr>
          <w:lang w:val="fr-FR"/>
        </w:rPr>
        <w:t xml:space="preserve"> 15 septembre 2016</w:t>
      </w:r>
      <w:r w:rsidRPr="005451A6">
        <w:rPr>
          <w:lang w:val="fr-FR"/>
        </w:rPr>
        <w:t>, en application de l</w:t>
      </w:r>
      <w:r w:rsidR="005451A6" w:rsidRPr="005451A6">
        <w:rPr>
          <w:lang w:val="fr-FR"/>
        </w:rPr>
        <w:t>’</w:t>
      </w:r>
      <w:r w:rsidRPr="005451A6">
        <w:rPr>
          <w:lang w:val="fr-FR"/>
        </w:rPr>
        <w:t>article 77 §§ 2 et 3 du règlement</w:t>
      </w:r>
      <w:r w:rsidR="00AC0824" w:rsidRPr="005451A6">
        <w:rPr>
          <w:lang w:val="fr-FR"/>
        </w:rPr>
        <w:t xml:space="preserve"> de la Cour</w:t>
      </w:r>
      <w:r w:rsidRPr="005451A6">
        <w:rPr>
          <w:lang w:val="fr-FR"/>
        </w:rPr>
        <w:t>.</w:t>
      </w:r>
    </w:p>
    <w:p w:rsidR="004D15F3" w:rsidRPr="005451A6" w:rsidRDefault="000C6143" w:rsidP="005451A6">
      <w:pPr>
        <w:pStyle w:val="JuSigned"/>
        <w:keepNext/>
        <w:keepLines/>
        <w:tabs>
          <w:tab w:val="clear" w:pos="6407"/>
          <w:tab w:val="center" w:pos="5954"/>
        </w:tabs>
        <w:rPr>
          <w:lang w:val="es-ES_tradnl"/>
        </w:rPr>
      </w:pPr>
      <w:r w:rsidRPr="005451A6">
        <w:rPr>
          <w:lang w:val="fr-FR"/>
        </w:rPr>
        <w:tab/>
      </w:r>
      <w:r w:rsidRPr="005451A6">
        <w:rPr>
          <w:lang w:val="es-ES_tradnl"/>
        </w:rPr>
        <w:t>Abel Campos</w:t>
      </w:r>
      <w:r w:rsidR="00E77CB3" w:rsidRPr="005451A6">
        <w:rPr>
          <w:lang w:val="es-ES_tradnl"/>
        </w:rPr>
        <w:tab/>
      </w:r>
      <w:r w:rsidRPr="005451A6">
        <w:rPr>
          <w:szCs w:val="24"/>
          <w:lang w:val="es-ES_tradnl"/>
        </w:rPr>
        <w:t>Mirjana Lazarova Trajkovska</w:t>
      </w:r>
      <w:r w:rsidR="00E77CB3" w:rsidRPr="005451A6">
        <w:rPr>
          <w:lang w:val="es-ES_tradnl"/>
        </w:rPr>
        <w:br/>
      </w:r>
      <w:r w:rsidR="00E77CB3" w:rsidRPr="005451A6">
        <w:rPr>
          <w:lang w:val="es-ES_tradnl"/>
        </w:rPr>
        <w:tab/>
      </w:r>
      <w:r w:rsidRPr="005451A6">
        <w:rPr>
          <w:lang w:val="es-ES_tradnl"/>
        </w:rPr>
        <w:t>Greffier</w:t>
      </w:r>
      <w:r w:rsidR="00E77CB3" w:rsidRPr="005451A6">
        <w:rPr>
          <w:lang w:val="es-ES_tradnl"/>
        </w:rPr>
        <w:tab/>
      </w:r>
      <w:r w:rsidRPr="005451A6">
        <w:rPr>
          <w:lang w:val="es-ES_tradnl"/>
        </w:rPr>
        <w:t>Présidente</w:t>
      </w:r>
    </w:p>
    <w:sectPr w:rsidR="004D15F3" w:rsidRPr="005451A6" w:rsidSect="00F74B92">
      <w:headerReference w:type="even" r:id="rId14"/>
      <w:headerReference w:type="default" r:id="rId15"/>
      <w:footnotePr>
        <w:numRestart w:val="eachSect"/>
      </w:footnotePr>
      <w:pgSz w:w="11906" w:h="16838" w:code="9"/>
      <w:pgMar w:top="2274" w:right="2274" w:bottom="1985"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4A" w:rsidRPr="009C5881" w:rsidRDefault="0093054A" w:rsidP="00E77CB3">
      <w:pPr>
        <w:rPr>
          <w:lang w:val="fr-FR"/>
        </w:rPr>
      </w:pPr>
      <w:r w:rsidRPr="009C5881">
        <w:rPr>
          <w:lang w:val="fr-FR"/>
        </w:rPr>
        <w:separator/>
      </w:r>
    </w:p>
  </w:endnote>
  <w:endnote w:type="continuationSeparator" w:id="0">
    <w:p w:rsidR="0093054A" w:rsidRPr="009C5881" w:rsidRDefault="0093054A" w:rsidP="00E77CB3">
      <w:pPr>
        <w:rPr>
          <w:lang w:val="fr-FR"/>
        </w:rPr>
      </w:pPr>
      <w:r w:rsidRPr="009C588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17" w:rsidRPr="00150BFA" w:rsidRDefault="00AE7117" w:rsidP="00B06209">
    <w:pPr>
      <w:jc w:val="center"/>
    </w:pPr>
    <w:r>
      <w:rPr>
        <w:noProof/>
        <w:lang w:val="it-IT" w:eastAsia="it-IT"/>
      </w:rPr>
      <w:drawing>
        <wp:inline distT="0" distB="0" distL="0" distR="0" wp14:anchorId="11EB06C3" wp14:editId="006F2A9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E7117" w:rsidRDefault="00AE71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4A" w:rsidRPr="009C5881" w:rsidRDefault="0093054A" w:rsidP="00E77CB3">
      <w:pPr>
        <w:rPr>
          <w:lang w:val="fr-FR"/>
        </w:rPr>
      </w:pPr>
      <w:r w:rsidRPr="009C5881">
        <w:rPr>
          <w:lang w:val="fr-FR"/>
        </w:rPr>
        <w:separator/>
      </w:r>
    </w:p>
  </w:footnote>
  <w:footnote w:type="continuationSeparator" w:id="0">
    <w:p w:rsidR="0093054A" w:rsidRPr="009C5881" w:rsidRDefault="0093054A" w:rsidP="00E77CB3">
      <w:pPr>
        <w:rPr>
          <w:lang w:val="fr-FR"/>
        </w:rPr>
      </w:pPr>
      <w:r w:rsidRPr="009C588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17" w:rsidRPr="009C5881" w:rsidRDefault="00AE7117" w:rsidP="002859E4">
    <w:pPr>
      <w:pStyle w:val="ECHRHeader"/>
      <w:jc w:val="cent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17" w:rsidRPr="00A45145" w:rsidRDefault="00AE7117" w:rsidP="00B06209">
    <w:pPr>
      <w:jc w:val="center"/>
    </w:pPr>
    <w:r>
      <w:rPr>
        <w:noProof/>
        <w:lang w:val="it-IT" w:eastAsia="it-IT"/>
      </w:rPr>
      <w:drawing>
        <wp:inline distT="0" distB="0" distL="0" distR="0" wp14:anchorId="1E9983A2" wp14:editId="025BAC3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E7117" w:rsidRDefault="00AE711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17" w:rsidRPr="009C5881" w:rsidRDefault="00AE7117" w:rsidP="00C611D8">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946D17">
      <w:rPr>
        <w:rStyle w:val="Numeropagina"/>
        <w:noProof/>
        <w:lang w:val="fr-FR"/>
      </w:rPr>
      <w:t>12</w:t>
    </w:r>
    <w:r>
      <w:rPr>
        <w:rStyle w:val="Numeropagina"/>
        <w:lang w:val="fr-FR"/>
      </w:rPr>
      <w:fldChar w:fldCharType="end"/>
    </w:r>
    <w:r w:rsidRPr="009C5881">
      <w:rPr>
        <w:rStyle w:val="Numeropagina"/>
        <w:lang w:val="fr-FR"/>
      </w:rPr>
      <w:tab/>
    </w:r>
    <w:r>
      <w:rPr>
        <w:noProof/>
        <w:lang w:val="fr-FR"/>
      </w:rPr>
      <w:t>ARRÊT</w:t>
    </w:r>
    <w:r w:rsidRPr="009C5881">
      <w:rPr>
        <w:lang w:val="fr-FR"/>
      </w:rPr>
      <w:t xml:space="preserve"> </w:t>
    </w:r>
    <w:r>
      <w:rPr>
        <w:lang w:val="fr-FR"/>
      </w:rPr>
      <w:t>TREVISANATO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17" w:rsidRPr="009C5881" w:rsidRDefault="00AE7117" w:rsidP="00C63990">
    <w:pPr>
      <w:pStyle w:val="ECHRHeader"/>
      <w:rPr>
        <w:lang w:val="fr-FR"/>
      </w:rPr>
    </w:pPr>
    <w:r w:rsidRPr="009C5881">
      <w:rPr>
        <w:lang w:val="fr-FR"/>
      </w:rPr>
      <w:tab/>
    </w:r>
    <w:r>
      <w:rPr>
        <w:noProof/>
        <w:lang w:val="fr-FR"/>
      </w:rPr>
      <w:t>ARRÊT</w:t>
    </w:r>
    <w:r w:rsidRPr="009C5881">
      <w:rPr>
        <w:lang w:val="fr-FR"/>
      </w:rPr>
      <w:t xml:space="preserve"> </w:t>
    </w:r>
    <w:r>
      <w:rPr>
        <w:lang w:val="fr-FR"/>
      </w:rPr>
      <w:t>TREVISANATO c. ITALIE</w:t>
    </w:r>
    <w:r w:rsidRPr="009C5881">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946D17">
      <w:rPr>
        <w:rStyle w:val="Numeropagina"/>
        <w:noProof/>
        <w:lang w:val="fr-FR"/>
      </w:rPr>
      <w:t>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0C6143"/>
    <w:rsid w:val="000041F8"/>
    <w:rsid w:val="000042A8"/>
    <w:rsid w:val="00004308"/>
    <w:rsid w:val="00005BF0"/>
    <w:rsid w:val="00007154"/>
    <w:rsid w:val="000103AE"/>
    <w:rsid w:val="00011D69"/>
    <w:rsid w:val="00012AD3"/>
    <w:rsid w:val="00015C2D"/>
    <w:rsid w:val="00015F00"/>
    <w:rsid w:val="00016CD6"/>
    <w:rsid w:val="00022C1D"/>
    <w:rsid w:val="00034987"/>
    <w:rsid w:val="0004514A"/>
    <w:rsid w:val="000454E9"/>
    <w:rsid w:val="000602DF"/>
    <w:rsid w:val="00061B05"/>
    <w:rsid w:val="000632D5"/>
    <w:rsid w:val="000644EE"/>
    <w:rsid w:val="0006482C"/>
    <w:rsid w:val="00066A71"/>
    <w:rsid w:val="000925AD"/>
    <w:rsid w:val="00094DA4"/>
    <w:rsid w:val="00097D97"/>
    <w:rsid w:val="000A24EB"/>
    <w:rsid w:val="000A348F"/>
    <w:rsid w:val="000A4EF5"/>
    <w:rsid w:val="000B6923"/>
    <w:rsid w:val="000C1220"/>
    <w:rsid w:val="000C5F3C"/>
    <w:rsid w:val="000C6143"/>
    <w:rsid w:val="000C6DCC"/>
    <w:rsid w:val="000D26F6"/>
    <w:rsid w:val="000D47AA"/>
    <w:rsid w:val="000D721F"/>
    <w:rsid w:val="000E069B"/>
    <w:rsid w:val="000E0E82"/>
    <w:rsid w:val="000E1DC5"/>
    <w:rsid w:val="000E223F"/>
    <w:rsid w:val="000E7D45"/>
    <w:rsid w:val="000F00EF"/>
    <w:rsid w:val="000F02B8"/>
    <w:rsid w:val="000F7851"/>
    <w:rsid w:val="00104E23"/>
    <w:rsid w:val="00111B0C"/>
    <w:rsid w:val="00112686"/>
    <w:rsid w:val="00120D6C"/>
    <w:rsid w:val="001257EC"/>
    <w:rsid w:val="00133D33"/>
    <w:rsid w:val="00134D64"/>
    <w:rsid w:val="00135A30"/>
    <w:rsid w:val="0013612C"/>
    <w:rsid w:val="00137FF6"/>
    <w:rsid w:val="001406C3"/>
    <w:rsid w:val="00141650"/>
    <w:rsid w:val="00143A88"/>
    <w:rsid w:val="001516A3"/>
    <w:rsid w:val="0015413C"/>
    <w:rsid w:val="0016174F"/>
    <w:rsid w:val="00162A12"/>
    <w:rsid w:val="00166530"/>
    <w:rsid w:val="00177DAD"/>
    <w:rsid w:val="001832BD"/>
    <w:rsid w:val="001943B5"/>
    <w:rsid w:val="00195134"/>
    <w:rsid w:val="001A145B"/>
    <w:rsid w:val="001A5ECF"/>
    <w:rsid w:val="001A674C"/>
    <w:rsid w:val="001A7B22"/>
    <w:rsid w:val="001B3B24"/>
    <w:rsid w:val="001C0F98"/>
    <w:rsid w:val="001C24B6"/>
    <w:rsid w:val="001C2A42"/>
    <w:rsid w:val="001C41FA"/>
    <w:rsid w:val="001D63ED"/>
    <w:rsid w:val="001D7348"/>
    <w:rsid w:val="001E035B"/>
    <w:rsid w:val="001E0961"/>
    <w:rsid w:val="001E0ED7"/>
    <w:rsid w:val="001E3EAE"/>
    <w:rsid w:val="001E6F32"/>
    <w:rsid w:val="001F2145"/>
    <w:rsid w:val="001F2C1B"/>
    <w:rsid w:val="001F4E43"/>
    <w:rsid w:val="001F6262"/>
    <w:rsid w:val="001F6270"/>
    <w:rsid w:val="001F67B0"/>
    <w:rsid w:val="001F7B3D"/>
    <w:rsid w:val="00205F9F"/>
    <w:rsid w:val="00210338"/>
    <w:rsid w:val="002115FC"/>
    <w:rsid w:val="0021423C"/>
    <w:rsid w:val="00217A13"/>
    <w:rsid w:val="00230D00"/>
    <w:rsid w:val="00231DF7"/>
    <w:rsid w:val="00231FD1"/>
    <w:rsid w:val="002339E0"/>
    <w:rsid w:val="00233CF8"/>
    <w:rsid w:val="0023575D"/>
    <w:rsid w:val="00237148"/>
    <w:rsid w:val="0024222D"/>
    <w:rsid w:val="00244B0E"/>
    <w:rsid w:val="00244F6C"/>
    <w:rsid w:val="00245CEE"/>
    <w:rsid w:val="0024671B"/>
    <w:rsid w:val="002532C5"/>
    <w:rsid w:val="00260C03"/>
    <w:rsid w:val="0026540E"/>
    <w:rsid w:val="00275123"/>
    <w:rsid w:val="00282240"/>
    <w:rsid w:val="002859E4"/>
    <w:rsid w:val="00291379"/>
    <w:rsid w:val="0029445D"/>
    <w:rsid w:val="002948AD"/>
    <w:rsid w:val="002A01CC"/>
    <w:rsid w:val="002A099C"/>
    <w:rsid w:val="002A61B1"/>
    <w:rsid w:val="002A663C"/>
    <w:rsid w:val="002B444B"/>
    <w:rsid w:val="002B5887"/>
    <w:rsid w:val="002B6E6E"/>
    <w:rsid w:val="002C0E27"/>
    <w:rsid w:val="002C3040"/>
    <w:rsid w:val="002D022D"/>
    <w:rsid w:val="002D23B6"/>
    <w:rsid w:val="002D24BB"/>
    <w:rsid w:val="002D6067"/>
    <w:rsid w:val="002E02CB"/>
    <w:rsid w:val="002F2AF7"/>
    <w:rsid w:val="002F7E1C"/>
    <w:rsid w:val="00301A75"/>
    <w:rsid w:val="00302F70"/>
    <w:rsid w:val="0030336F"/>
    <w:rsid w:val="0030375E"/>
    <w:rsid w:val="003079B3"/>
    <w:rsid w:val="00310FF8"/>
    <w:rsid w:val="00311B65"/>
    <w:rsid w:val="00312A30"/>
    <w:rsid w:val="00320F72"/>
    <w:rsid w:val="0032463E"/>
    <w:rsid w:val="00325932"/>
    <w:rsid w:val="00326224"/>
    <w:rsid w:val="00332198"/>
    <w:rsid w:val="00337EE4"/>
    <w:rsid w:val="00340FFD"/>
    <w:rsid w:val="0034642C"/>
    <w:rsid w:val="003506B1"/>
    <w:rsid w:val="00354F8C"/>
    <w:rsid w:val="0035629A"/>
    <w:rsid w:val="00356AC7"/>
    <w:rsid w:val="00357483"/>
    <w:rsid w:val="003609FA"/>
    <w:rsid w:val="00360C1C"/>
    <w:rsid w:val="00366E11"/>
    <w:rsid w:val="003710C8"/>
    <w:rsid w:val="003750BE"/>
    <w:rsid w:val="00375CAA"/>
    <w:rsid w:val="0038278D"/>
    <w:rsid w:val="003857E9"/>
    <w:rsid w:val="00387B9D"/>
    <w:rsid w:val="0039364F"/>
    <w:rsid w:val="00396686"/>
    <w:rsid w:val="0039778E"/>
    <w:rsid w:val="003B2814"/>
    <w:rsid w:val="003B4941"/>
    <w:rsid w:val="003C5714"/>
    <w:rsid w:val="003C628F"/>
    <w:rsid w:val="003C6B9F"/>
    <w:rsid w:val="003C6E2A"/>
    <w:rsid w:val="003D0299"/>
    <w:rsid w:val="003E6D80"/>
    <w:rsid w:val="003F05FA"/>
    <w:rsid w:val="003F244A"/>
    <w:rsid w:val="003F30B8"/>
    <w:rsid w:val="003F4C45"/>
    <w:rsid w:val="003F5F7B"/>
    <w:rsid w:val="003F7D64"/>
    <w:rsid w:val="00407253"/>
    <w:rsid w:val="00414300"/>
    <w:rsid w:val="004147EA"/>
    <w:rsid w:val="00425C67"/>
    <w:rsid w:val="00427E7A"/>
    <w:rsid w:val="00434EC4"/>
    <w:rsid w:val="0043597A"/>
    <w:rsid w:val="00436C49"/>
    <w:rsid w:val="00445366"/>
    <w:rsid w:val="00447F5B"/>
    <w:rsid w:val="0045067D"/>
    <w:rsid w:val="00461DB0"/>
    <w:rsid w:val="00463926"/>
    <w:rsid w:val="00464C9A"/>
    <w:rsid w:val="00471465"/>
    <w:rsid w:val="004741F5"/>
    <w:rsid w:val="00474F3D"/>
    <w:rsid w:val="00477E3A"/>
    <w:rsid w:val="00481903"/>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E702B"/>
    <w:rsid w:val="004F10AF"/>
    <w:rsid w:val="004F11A4"/>
    <w:rsid w:val="004F2389"/>
    <w:rsid w:val="004F2979"/>
    <w:rsid w:val="004F304D"/>
    <w:rsid w:val="004F61BE"/>
    <w:rsid w:val="004F66B1"/>
    <w:rsid w:val="00511C07"/>
    <w:rsid w:val="005173A6"/>
    <w:rsid w:val="00520BAA"/>
    <w:rsid w:val="00525208"/>
    <w:rsid w:val="005257A5"/>
    <w:rsid w:val="00526459"/>
    <w:rsid w:val="005264C0"/>
    <w:rsid w:val="00526A8A"/>
    <w:rsid w:val="00531DF2"/>
    <w:rsid w:val="00533124"/>
    <w:rsid w:val="00534918"/>
    <w:rsid w:val="00542CA9"/>
    <w:rsid w:val="005442EE"/>
    <w:rsid w:val="00544816"/>
    <w:rsid w:val="005451A6"/>
    <w:rsid w:val="00547353"/>
    <w:rsid w:val="005474E7"/>
    <w:rsid w:val="005512A3"/>
    <w:rsid w:val="005578CE"/>
    <w:rsid w:val="005602BB"/>
    <w:rsid w:val="00562781"/>
    <w:rsid w:val="0057271C"/>
    <w:rsid w:val="00572845"/>
    <w:rsid w:val="00574C83"/>
    <w:rsid w:val="00592772"/>
    <w:rsid w:val="0059574A"/>
    <w:rsid w:val="00596468"/>
    <w:rsid w:val="00596E07"/>
    <w:rsid w:val="005A02CB"/>
    <w:rsid w:val="005A1B9B"/>
    <w:rsid w:val="005A6751"/>
    <w:rsid w:val="005B092E"/>
    <w:rsid w:val="005B152C"/>
    <w:rsid w:val="005B1EE0"/>
    <w:rsid w:val="005B2B24"/>
    <w:rsid w:val="005B4425"/>
    <w:rsid w:val="005B4B94"/>
    <w:rsid w:val="005C3EE8"/>
    <w:rsid w:val="005D2C52"/>
    <w:rsid w:val="005D34F9"/>
    <w:rsid w:val="005D4190"/>
    <w:rsid w:val="005D67A3"/>
    <w:rsid w:val="005E2988"/>
    <w:rsid w:val="005E3085"/>
    <w:rsid w:val="005E37C6"/>
    <w:rsid w:val="005F033F"/>
    <w:rsid w:val="005F51E1"/>
    <w:rsid w:val="00604EFA"/>
    <w:rsid w:val="00611C80"/>
    <w:rsid w:val="00620692"/>
    <w:rsid w:val="006234D4"/>
    <w:rsid w:val="006242CA"/>
    <w:rsid w:val="00627507"/>
    <w:rsid w:val="00633717"/>
    <w:rsid w:val="006344E1"/>
    <w:rsid w:val="00634D61"/>
    <w:rsid w:val="00643832"/>
    <w:rsid w:val="0065298D"/>
    <w:rsid w:val="006545C4"/>
    <w:rsid w:val="00661971"/>
    <w:rsid w:val="00661CE8"/>
    <w:rsid w:val="006623D9"/>
    <w:rsid w:val="0066550C"/>
    <w:rsid w:val="00667B26"/>
    <w:rsid w:val="006716F2"/>
    <w:rsid w:val="00682BF2"/>
    <w:rsid w:val="006859CE"/>
    <w:rsid w:val="00691270"/>
    <w:rsid w:val="00694A2E"/>
    <w:rsid w:val="00694BA8"/>
    <w:rsid w:val="006A037C"/>
    <w:rsid w:val="006A291B"/>
    <w:rsid w:val="006A36F4"/>
    <w:rsid w:val="006A406F"/>
    <w:rsid w:val="006A5D3A"/>
    <w:rsid w:val="006C1BCB"/>
    <w:rsid w:val="006C23D4"/>
    <w:rsid w:val="006C64BE"/>
    <w:rsid w:val="006C7BB0"/>
    <w:rsid w:val="006D3237"/>
    <w:rsid w:val="006E2E37"/>
    <w:rsid w:val="006E3CF1"/>
    <w:rsid w:val="006E7E80"/>
    <w:rsid w:val="006F48CA"/>
    <w:rsid w:val="006F64DD"/>
    <w:rsid w:val="00700EE3"/>
    <w:rsid w:val="00707115"/>
    <w:rsid w:val="00711B9F"/>
    <w:rsid w:val="00715127"/>
    <w:rsid w:val="00715E8E"/>
    <w:rsid w:val="00722594"/>
    <w:rsid w:val="00723580"/>
    <w:rsid w:val="00723755"/>
    <w:rsid w:val="0073136C"/>
    <w:rsid w:val="00731AE6"/>
    <w:rsid w:val="00731F0F"/>
    <w:rsid w:val="00733250"/>
    <w:rsid w:val="00741404"/>
    <w:rsid w:val="00744049"/>
    <w:rsid w:val="007449E5"/>
    <w:rsid w:val="00747FF0"/>
    <w:rsid w:val="007541CF"/>
    <w:rsid w:val="00754A44"/>
    <w:rsid w:val="007612B3"/>
    <w:rsid w:val="00764D4E"/>
    <w:rsid w:val="00765A1F"/>
    <w:rsid w:val="00775B6D"/>
    <w:rsid w:val="00776D68"/>
    <w:rsid w:val="007850EE"/>
    <w:rsid w:val="00785B95"/>
    <w:rsid w:val="00790E96"/>
    <w:rsid w:val="00793366"/>
    <w:rsid w:val="007952DA"/>
    <w:rsid w:val="00795DF0"/>
    <w:rsid w:val="007A21EE"/>
    <w:rsid w:val="007A716F"/>
    <w:rsid w:val="007B270A"/>
    <w:rsid w:val="007B4B56"/>
    <w:rsid w:val="007B6670"/>
    <w:rsid w:val="007C0695"/>
    <w:rsid w:val="007C419A"/>
    <w:rsid w:val="007C4CC8"/>
    <w:rsid w:val="007C5426"/>
    <w:rsid w:val="007C5798"/>
    <w:rsid w:val="007C5818"/>
    <w:rsid w:val="007D4832"/>
    <w:rsid w:val="007E21B2"/>
    <w:rsid w:val="007E2C4E"/>
    <w:rsid w:val="007E3ED4"/>
    <w:rsid w:val="007E48C2"/>
    <w:rsid w:val="007F1905"/>
    <w:rsid w:val="007F463E"/>
    <w:rsid w:val="007F4F51"/>
    <w:rsid w:val="00800014"/>
    <w:rsid w:val="00801300"/>
    <w:rsid w:val="00802C64"/>
    <w:rsid w:val="00805E52"/>
    <w:rsid w:val="008061D0"/>
    <w:rsid w:val="0081023B"/>
    <w:rsid w:val="00810B38"/>
    <w:rsid w:val="00815E06"/>
    <w:rsid w:val="008204C7"/>
    <w:rsid w:val="00820992"/>
    <w:rsid w:val="00821759"/>
    <w:rsid w:val="00823602"/>
    <w:rsid w:val="00825073"/>
    <w:rsid w:val="008255F5"/>
    <w:rsid w:val="0083014E"/>
    <w:rsid w:val="0083214A"/>
    <w:rsid w:val="00834220"/>
    <w:rsid w:val="0084351A"/>
    <w:rsid w:val="00845723"/>
    <w:rsid w:val="008467AF"/>
    <w:rsid w:val="00851EF9"/>
    <w:rsid w:val="008577FD"/>
    <w:rsid w:val="00860B03"/>
    <w:rsid w:val="0086497A"/>
    <w:rsid w:val="0086683D"/>
    <w:rsid w:val="008713A1"/>
    <w:rsid w:val="008718EA"/>
    <w:rsid w:val="008754AB"/>
    <w:rsid w:val="00875AB3"/>
    <w:rsid w:val="0088060C"/>
    <w:rsid w:val="00893576"/>
    <w:rsid w:val="00893E73"/>
    <w:rsid w:val="008A1805"/>
    <w:rsid w:val="008B02DC"/>
    <w:rsid w:val="008B57CE"/>
    <w:rsid w:val="008C26DE"/>
    <w:rsid w:val="008C2FF2"/>
    <w:rsid w:val="008D2225"/>
    <w:rsid w:val="008D4752"/>
    <w:rsid w:val="008D7298"/>
    <w:rsid w:val="008D7A60"/>
    <w:rsid w:val="008E16BC"/>
    <w:rsid w:val="008E271C"/>
    <w:rsid w:val="008E418E"/>
    <w:rsid w:val="008E5BC6"/>
    <w:rsid w:val="008E6A25"/>
    <w:rsid w:val="008F5193"/>
    <w:rsid w:val="009013A7"/>
    <w:rsid w:val="009017FB"/>
    <w:rsid w:val="009017FC"/>
    <w:rsid w:val="00901DD6"/>
    <w:rsid w:val="0090506B"/>
    <w:rsid w:val="009050C9"/>
    <w:rsid w:val="009066FC"/>
    <w:rsid w:val="009140A3"/>
    <w:rsid w:val="009144A2"/>
    <w:rsid w:val="0091510C"/>
    <w:rsid w:val="00920C61"/>
    <w:rsid w:val="009259AC"/>
    <w:rsid w:val="00926AD5"/>
    <w:rsid w:val="00926F38"/>
    <w:rsid w:val="0093054A"/>
    <w:rsid w:val="00934301"/>
    <w:rsid w:val="00936C2D"/>
    <w:rsid w:val="00936CD1"/>
    <w:rsid w:val="00941747"/>
    <w:rsid w:val="00941EFB"/>
    <w:rsid w:val="00946D17"/>
    <w:rsid w:val="00947AFB"/>
    <w:rsid w:val="00951D7D"/>
    <w:rsid w:val="00960B4B"/>
    <w:rsid w:val="009630C7"/>
    <w:rsid w:val="00972B55"/>
    <w:rsid w:val="00973E65"/>
    <w:rsid w:val="009743B7"/>
    <w:rsid w:val="0098228B"/>
    <w:rsid w:val="009828DA"/>
    <w:rsid w:val="00985BAB"/>
    <w:rsid w:val="0098639D"/>
    <w:rsid w:val="009903E6"/>
    <w:rsid w:val="009A5DA4"/>
    <w:rsid w:val="009B1B5F"/>
    <w:rsid w:val="009B2381"/>
    <w:rsid w:val="009B6673"/>
    <w:rsid w:val="009C191B"/>
    <w:rsid w:val="009C2BD6"/>
    <w:rsid w:val="009C5881"/>
    <w:rsid w:val="009D54F1"/>
    <w:rsid w:val="009E1F32"/>
    <w:rsid w:val="009E776C"/>
    <w:rsid w:val="00A00144"/>
    <w:rsid w:val="00A07368"/>
    <w:rsid w:val="00A07612"/>
    <w:rsid w:val="00A07E9F"/>
    <w:rsid w:val="00A1726E"/>
    <w:rsid w:val="00A204CF"/>
    <w:rsid w:val="00A23D49"/>
    <w:rsid w:val="00A27004"/>
    <w:rsid w:val="00A30C29"/>
    <w:rsid w:val="00A34DD6"/>
    <w:rsid w:val="00A36819"/>
    <w:rsid w:val="00A36989"/>
    <w:rsid w:val="00A36E93"/>
    <w:rsid w:val="00A43308"/>
    <w:rsid w:val="00A43628"/>
    <w:rsid w:val="00A53B97"/>
    <w:rsid w:val="00A54192"/>
    <w:rsid w:val="00A6035E"/>
    <w:rsid w:val="00A6144C"/>
    <w:rsid w:val="00A62C8B"/>
    <w:rsid w:val="00A66617"/>
    <w:rsid w:val="00A671F8"/>
    <w:rsid w:val="00A673A4"/>
    <w:rsid w:val="00A67531"/>
    <w:rsid w:val="00A724AE"/>
    <w:rsid w:val="00A73329"/>
    <w:rsid w:val="00A74BC1"/>
    <w:rsid w:val="00A82359"/>
    <w:rsid w:val="00A865D2"/>
    <w:rsid w:val="00A94C20"/>
    <w:rsid w:val="00AA227F"/>
    <w:rsid w:val="00AA3BC7"/>
    <w:rsid w:val="00AA515B"/>
    <w:rsid w:val="00AA754A"/>
    <w:rsid w:val="00AB099E"/>
    <w:rsid w:val="00AB14F6"/>
    <w:rsid w:val="00AB4328"/>
    <w:rsid w:val="00AC0824"/>
    <w:rsid w:val="00AC4EBF"/>
    <w:rsid w:val="00AD0482"/>
    <w:rsid w:val="00AD1291"/>
    <w:rsid w:val="00AD33FE"/>
    <w:rsid w:val="00AD412E"/>
    <w:rsid w:val="00AE0A2E"/>
    <w:rsid w:val="00AE354C"/>
    <w:rsid w:val="00AE7117"/>
    <w:rsid w:val="00AF4B07"/>
    <w:rsid w:val="00AF5CC8"/>
    <w:rsid w:val="00AF6186"/>
    <w:rsid w:val="00AF7A3A"/>
    <w:rsid w:val="00B06209"/>
    <w:rsid w:val="00B07B24"/>
    <w:rsid w:val="00B160DB"/>
    <w:rsid w:val="00B20836"/>
    <w:rsid w:val="00B235BB"/>
    <w:rsid w:val="00B27A44"/>
    <w:rsid w:val="00B30BBF"/>
    <w:rsid w:val="00B33C03"/>
    <w:rsid w:val="00B44E56"/>
    <w:rsid w:val="00B46543"/>
    <w:rsid w:val="00B47D33"/>
    <w:rsid w:val="00B52BE0"/>
    <w:rsid w:val="00B53237"/>
    <w:rsid w:val="00B54133"/>
    <w:rsid w:val="00B701ED"/>
    <w:rsid w:val="00B8086C"/>
    <w:rsid w:val="00B861B4"/>
    <w:rsid w:val="00B86DFE"/>
    <w:rsid w:val="00B90990"/>
    <w:rsid w:val="00B90BA0"/>
    <w:rsid w:val="00B922FF"/>
    <w:rsid w:val="00B9281E"/>
    <w:rsid w:val="00B93925"/>
    <w:rsid w:val="00B93ECF"/>
    <w:rsid w:val="00B95187"/>
    <w:rsid w:val="00B9776F"/>
    <w:rsid w:val="00BA2D55"/>
    <w:rsid w:val="00BA6DD7"/>
    <w:rsid w:val="00BA71B1"/>
    <w:rsid w:val="00BB0637"/>
    <w:rsid w:val="00BB345F"/>
    <w:rsid w:val="00BB68EA"/>
    <w:rsid w:val="00BC1C27"/>
    <w:rsid w:val="00BC4A8F"/>
    <w:rsid w:val="00BC585C"/>
    <w:rsid w:val="00BC6BBF"/>
    <w:rsid w:val="00BD1572"/>
    <w:rsid w:val="00BE14E3"/>
    <w:rsid w:val="00BE3774"/>
    <w:rsid w:val="00BE41E5"/>
    <w:rsid w:val="00BF4109"/>
    <w:rsid w:val="00BF4CC3"/>
    <w:rsid w:val="00C054C7"/>
    <w:rsid w:val="00C057B5"/>
    <w:rsid w:val="00C06E15"/>
    <w:rsid w:val="00C12527"/>
    <w:rsid w:val="00C1262B"/>
    <w:rsid w:val="00C22687"/>
    <w:rsid w:val="00C229F5"/>
    <w:rsid w:val="00C32E4D"/>
    <w:rsid w:val="00C333A0"/>
    <w:rsid w:val="00C36408"/>
    <w:rsid w:val="00C36A81"/>
    <w:rsid w:val="00C41974"/>
    <w:rsid w:val="00C51396"/>
    <w:rsid w:val="00C53F4A"/>
    <w:rsid w:val="00C54125"/>
    <w:rsid w:val="00C55B54"/>
    <w:rsid w:val="00C568CF"/>
    <w:rsid w:val="00C6098E"/>
    <w:rsid w:val="00C611D8"/>
    <w:rsid w:val="00C6152C"/>
    <w:rsid w:val="00C62351"/>
    <w:rsid w:val="00C63990"/>
    <w:rsid w:val="00C64EF6"/>
    <w:rsid w:val="00C65050"/>
    <w:rsid w:val="00C724AC"/>
    <w:rsid w:val="00C72B00"/>
    <w:rsid w:val="00C74810"/>
    <w:rsid w:val="00C75123"/>
    <w:rsid w:val="00C8479B"/>
    <w:rsid w:val="00C90D68"/>
    <w:rsid w:val="00C939FE"/>
    <w:rsid w:val="00C96D7E"/>
    <w:rsid w:val="00CA3D1A"/>
    <w:rsid w:val="00CA4BDA"/>
    <w:rsid w:val="00CB1F66"/>
    <w:rsid w:val="00CB2951"/>
    <w:rsid w:val="00CB738C"/>
    <w:rsid w:val="00CC3FE5"/>
    <w:rsid w:val="00CC71E6"/>
    <w:rsid w:val="00CD282B"/>
    <w:rsid w:val="00CD4C35"/>
    <w:rsid w:val="00CD5BEE"/>
    <w:rsid w:val="00CD7369"/>
    <w:rsid w:val="00CE0B0E"/>
    <w:rsid w:val="00CE3831"/>
    <w:rsid w:val="00D00ABB"/>
    <w:rsid w:val="00D01BAC"/>
    <w:rsid w:val="00D02EEC"/>
    <w:rsid w:val="00D03551"/>
    <w:rsid w:val="00D06892"/>
    <w:rsid w:val="00D06A63"/>
    <w:rsid w:val="00D07E0E"/>
    <w:rsid w:val="00D11478"/>
    <w:rsid w:val="00D15ED0"/>
    <w:rsid w:val="00D21B3E"/>
    <w:rsid w:val="00D21FED"/>
    <w:rsid w:val="00D24251"/>
    <w:rsid w:val="00D250D7"/>
    <w:rsid w:val="00D3050E"/>
    <w:rsid w:val="00D343E2"/>
    <w:rsid w:val="00D361A2"/>
    <w:rsid w:val="00D37C1F"/>
    <w:rsid w:val="00D42AFF"/>
    <w:rsid w:val="00D44C2E"/>
    <w:rsid w:val="00D45414"/>
    <w:rsid w:val="00D52F50"/>
    <w:rsid w:val="00D54EAC"/>
    <w:rsid w:val="00D566BD"/>
    <w:rsid w:val="00D576CF"/>
    <w:rsid w:val="00D57A4D"/>
    <w:rsid w:val="00D60382"/>
    <w:rsid w:val="00D60AA7"/>
    <w:rsid w:val="00D6435F"/>
    <w:rsid w:val="00D75E28"/>
    <w:rsid w:val="00D772C2"/>
    <w:rsid w:val="00D8008E"/>
    <w:rsid w:val="00D82C45"/>
    <w:rsid w:val="00D87B40"/>
    <w:rsid w:val="00D908A8"/>
    <w:rsid w:val="00D977B6"/>
    <w:rsid w:val="00DA4A31"/>
    <w:rsid w:val="00DA7B04"/>
    <w:rsid w:val="00DB36C2"/>
    <w:rsid w:val="00DC169B"/>
    <w:rsid w:val="00DC2AB9"/>
    <w:rsid w:val="00DC63F0"/>
    <w:rsid w:val="00DC7C1F"/>
    <w:rsid w:val="00DD4AAB"/>
    <w:rsid w:val="00DD5146"/>
    <w:rsid w:val="00DD6EE5"/>
    <w:rsid w:val="00DE08FC"/>
    <w:rsid w:val="00DE2545"/>
    <w:rsid w:val="00DE37F2"/>
    <w:rsid w:val="00DE386C"/>
    <w:rsid w:val="00DE4D35"/>
    <w:rsid w:val="00DF098B"/>
    <w:rsid w:val="00DF11C4"/>
    <w:rsid w:val="00DF210C"/>
    <w:rsid w:val="00DF4B6A"/>
    <w:rsid w:val="00E01E65"/>
    <w:rsid w:val="00E02C09"/>
    <w:rsid w:val="00E04D59"/>
    <w:rsid w:val="00E07DA1"/>
    <w:rsid w:val="00E123CB"/>
    <w:rsid w:val="00E20E13"/>
    <w:rsid w:val="00E21DBC"/>
    <w:rsid w:val="00E275D7"/>
    <w:rsid w:val="00E27DBE"/>
    <w:rsid w:val="00E32AB1"/>
    <w:rsid w:val="00E36C71"/>
    <w:rsid w:val="00E40404"/>
    <w:rsid w:val="00E40595"/>
    <w:rsid w:val="00E4529A"/>
    <w:rsid w:val="00E459C6"/>
    <w:rsid w:val="00E47589"/>
    <w:rsid w:val="00E6392B"/>
    <w:rsid w:val="00E64915"/>
    <w:rsid w:val="00E661D4"/>
    <w:rsid w:val="00E70091"/>
    <w:rsid w:val="00E720F5"/>
    <w:rsid w:val="00E76D47"/>
    <w:rsid w:val="00E76E51"/>
    <w:rsid w:val="00E77CB3"/>
    <w:rsid w:val="00E8112F"/>
    <w:rsid w:val="00E849F7"/>
    <w:rsid w:val="00E90302"/>
    <w:rsid w:val="00E97396"/>
    <w:rsid w:val="00EA185E"/>
    <w:rsid w:val="00EA58A2"/>
    <w:rsid w:val="00EA592A"/>
    <w:rsid w:val="00EB14E4"/>
    <w:rsid w:val="00EB32A5"/>
    <w:rsid w:val="00EB34ED"/>
    <w:rsid w:val="00EB7BE0"/>
    <w:rsid w:val="00EB7E63"/>
    <w:rsid w:val="00EC315E"/>
    <w:rsid w:val="00EC6741"/>
    <w:rsid w:val="00EC74B2"/>
    <w:rsid w:val="00ED077C"/>
    <w:rsid w:val="00ED1190"/>
    <w:rsid w:val="00ED6544"/>
    <w:rsid w:val="00EE0277"/>
    <w:rsid w:val="00EE3E00"/>
    <w:rsid w:val="00EE5DD2"/>
    <w:rsid w:val="00EF0A2E"/>
    <w:rsid w:val="00EF63C2"/>
    <w:rsid w:val="00F00A79"/>
    <w:rsid w:val="00F00E86"/>
    <w:rsid w:val="00F03F37"/>
    <w:rsid w:val="00F04AA1"/>
    <w:rsid w:val="00F07C1E"/>
    <w:rsid w:val="00F105DB"/>
    <w:rsid w:val="00F132BC"/>
    <w:rsid w:val="00F13D80"/>
    <w:rsid w:val="00F16AAA"/>
    <w:rsid w:val="00F21161"/>
    <w:rsid w:val="00F218EF"/>
    <w:rsid w:val="00F21BC7"/>
    <w:rsid w:val="00F266A2"/>
    <w:rsid w:val="00F32269"/>
    <w:rsid w:val="00F473DE"/>
    <w:rsid w:val="00F543BE"/>
    <w:rsid w:val="00F56A6F"/>
    <w:rsid w:val="00F5709C"/>
    <w:rsid w:val="00F62080"/>
    <w:rsid w:val="00F64EF1"/>
    <w:rsid w:val="00F74B92"/>
    <w:rsid w:val="00F8765F"/>
    <w:rsid w:val="00F90767"/>
    <w:rsid w:val="00FA685B"/>
    <w:rsid w:val="00FB0C01"/>
    <w:rsid w:val="00FB2B45"/>
    <w:rsid w:val="00FC18F2"/>
    <w:rsid w:val="00FC1AB6"/>
    <w:rsid w:val="00FC39E5"/>
    <w:rsid w:val="00FC3A78"/>
    <w:rsid w:val="00FD1005"/>
    <w:rsid w:val="00FD6C75"/>
    <w:rsid w:val="00FE71B3"/>
    <w:rsid w:val="00FE79FE"/>
    <w:rsid w:val="00FF245F"/>
    <w:rsid w:val="00FF42C5"/>
    <w:rsid w:val="00FF6D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AE7117"/>
    <w:pPr>
      <w:jc w:val="both"/>
    </w:pPr>
    <w:rPr>
      <w:rFonts w:eastAsiaTheme="minorEastAsia"/>
      <w:sz w:val="24"/>
    </w:rPr>
  </w:style>
  <w:style w:type="paragraph" w:styleId="Titolo1">
    <w:name w:val="heading 1"/>
    <w:basedOn w:val="Normale"/>
    <w:next w:val="Normale"/>
    <w:link w:val="Titolo1Carattere"/>
    <w:uiPriority w:val="99"/>
    <w:semiHidden/>
    <w:rsid w:val="00AE711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E711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E711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E711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E7117"/>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AE711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E7117"/>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AE711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AE711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E71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117"/>
    <w:rPr>
      <w:rFonts w:ascii="Tahoma" w:eastAsiaTheme="minorEastAsia" w:hAnsi="Tahoma" w:cs="Tahoma"/>
      <w:sz w:val="16"/>
      <w:szCs w:val="16"/>
    </w:rPr>
  </w:style>
  <w:style w:type="character" w:styleId="Titolodellibro">
    <w:name w:val="Book Title"/>
    <w:uiPriority w:val="99"/>
    <w:semiHidden/>
    <w:qFormat/>
    <w:rsid w:val="00AE7117"/>
    <w:rPr>
      <w:i/>
      <w:iCs/>
      <w:smallCaps/>
      <w:spacing w:val="5"/>
    </w:rPr>
  </w:style>
  <w:style w:type="paragraph" w:customStyle="1" w:styleId="ECHRHeader">
    <w:name w:val="ECHR_Header"/>
    <w:aliases w:val="Ju_Header"/>
    <w:basedOn w:val="Intestazione"/>
    <w:uiPriority w:val="4"/>
    <w:qFormat/>
    <w:rsid w:val="00AE7117"/>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AE7117"/>
    <w:pPr>
      <w:jc w:val="left"/>
    </w:pPr>
    <w:rPr>
      <w:sz w:val="8"/>
    </w:rPr>
  </w:style>
  <w:style w:type="character" w:styleId="Enfasigrassetto">
    <w:name w:val="Strong"/>
    <w:uiPriority w:val="99"/>
    <w:semiHidden/>
    <w:qFormat/>
    <w:rsid w:val="00AE7117"/>
    <w:rPr>
      <w:b/>
      <w:bCs/>
    </w:rPr>
  </w:style>
  <w:style w:type="paragraph" w:styleId="Nessunaspaziatura">
    <w:name w:val="No Spacing"/>
    <w:basedOn w:val="Normale"/>
    <w:link w:val="NessunaspaziaturaCarattere"/>
    <w:semiHidden/>
    <w:qFormat/>
    <w:rsid w:val="00AE7117"/>
    <w:rPr>
      <w:sz w:val="22"/>
    </w:rPr>
  </w:style>
  <w:style w:type="character" w:customStyle="1" w:styleId="NessunaspaziaturaCarattere">
    <w:name w:val="Nessuna spaziatura Carattere"/>
    <w:basedOn w:val="Carpredefinitoparagrafo"/>
    <w:link w:val="Nessunaspaziatura"/>
    <w:semiHidden/>
    <w:rsid w:val="00AE7117"/>
    <w:rPr>
      <w:rFonts w:eastAsiaTheme="minorEastAsia"/>
    </w:rPr>
  </w:style>
  <w:style w:type="paragraph" w:customStyle="1" w:styleId="ECHRFooterLine">
    <w:name w:val="ECHR_Footer_Line"/>
    <w:aliases w:val="Footer_Line"/>
    <w:basedOn w:val="Normale"/>
    <w:next w:val="ECHRFooter"/>
    <w:uiPriority w:val="57"/>
    <w:semiHidden/>
    <w:rsid w:val="00AE7117"/>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AE7117"/>
  </w:style>
  <w:style w:type="paragraph" w:customStyle="1" w:styleId="DecList">
    <w:name w:val="Dec_List"/>
    <w:basedOn w:val="Normale"/>
    <w:uiPriority w:val="9"/>
    <w:semiHidden/>
    <w:qFormat/>
    <w:rsid w:val="00AE7117"/>
    <w:pPr>
      <w:spacing w:before="240"/>
      <w:ind w:left="284"/>
    </w:pPr>
  </w:style>
  <w:style w:type="paragraph" w:customStyle="1" w:styleId="DummyStyle">
    <w:name w:val="Dummy_Style"/>
    <w:basedOn w:val="Normale"/>
    <w:semiHidden/>
    <w:qFormat/>
    <w:rsid w:val="00AE7117"/>
    <w:rPr>
      <w:color w:val="00B050"/>
    </w:rPr>
  </w:style>
  <w:style w:type="paragraph" w:customStyle="1" w:styleId="ECHRTitleCentre3">
    <w:name w:val="ECHR_Title_Centre_3"/>
    <w:aliases w:val="Ju_H_Article"/>
    <w:basedOn w:val="Normale"/>
    <w:next w:val="ECHRParaQuote"/>
    <w:uiPriority w:val="27"/>
    <w:qFormat/>
    <w:rsid w:val="00AE711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AE7117"/>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AE7117"/>
    <w:pPr>
      <w:numPr>
        <w:numId w:val="16"/>
      </w:numPr>
      <w:jc w:val="left"/>
    </w:pPr>
    <w:rPr>
      <w:b/>
    </w:rPr>
  </w:style>
  <w:style w:type="paragraph" w:customStyle="1" w:styleId="JuCourt">
    <w:name w:val="Ju_Court"/>
    <w:basedOn w:val="Normale"/>
    <w:next w:val="Normale"/>
    <w:uiPriority w:val="16"/>
    <w:qFormat/>
    <w:rsid w:val="00AE7117"/>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AE7117"/>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AE7117"/>
    <w:pPr>
      <w:spacing w:after="240"/>
      <w:jc w:val="center"/>
      <w:outlineLvl w:val="0"/>
    </w:pPr>
    <w:rPr>
      <w:rFonts w:asciiTheme="majorHAnsi" w:hAnsiTheme="majorHAnsi"/>
      <w:i/>
    </w:rPr>
  </w:style>
  <w:style w:type="paragraph" w:customStyle="1" w:styleId="JuInitialled">
    <w:name w:val="Ju_Initialled"/>
    <w:basedOn w:val="Normale"/>
    <w:uiPriority w:val="31"/>
    <w:qFormat/>
    <w:rsid w:val="00AE7117"/>
    <w:pPr>
      <w:tabs>
        <w:tab w:val="center" w:pos="6407"/>
      </w:tabs>
      <w:spacing w:before="720"/>
      <w:jc w:val="right"/>
    </w:pPr>
  </w:style>
  <w:style w:type="paragraph" w:styleId="Titolo">
    <w:name w:val="Title"/>
    <w:basedOn w:val="Normale"/>
    <w:next w:val="Normale"/>
    <w:link w:val="TitoloCarattere"/>
    <w:uiPriority w:val="99"/>
    <w:semiHidden/>
    <w:qFormat/>
    <w:rsid w:val="00AE711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AE711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AE711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AE711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AE711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AE7117"/>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AE7117"/>
    <w:pPr>
      <w:keepNext/>
      <w:keepLines/>
      <w:spacing w:before="240" w:after="120"/>
      <w:ind w:left="1236"/>
    </w:pPr>
    <w:rPr>
      <w:sz w:val="20"/>
    </w:rPr>
  </w:style>
  <w:style w:type="character" w:customStyle="1" w:styleId="JuITMark">
    <w:name w:val="Ju_ITMark"/>
    <w:basedOn w:val="Carpredefinitoparagrafo"/>
    <w:uiPriority w:val="38"/>
    <w:qFormat/>
    <w:rsid w:val="00AE7117"/>
    <w:rPr>
      <w:vanish w:val="0"/>
      <w:color w:val="auto"/>
      <w:sz w:val="14"/>
    </w:rPr>
  </w:style>
  <w:style w:type="paragraph" w:customStyle="1" w:styleId="JuLista">
    <w:name w:val="Ju_List_a"/>
    <w:basedOn w:val="JuList"/>
    <w:uiPriority w:val="28"/>
    <w:qFormat/>
    <w:rsid w:val="00AE7117"/>
    <w:pPr>
      <w:ind w:left="346" w:firstLine="0"/>
    </w:pPr>
  </w:style>
  <w:style w:type="paragraph" w:customStyle="1" w:styleId="JuListi">
    <w:name w:val="Ju_List_i"/>
    <w:basedOn w:val="Normale"/>
    <w:next w:val="JuLista"/>
    <w:uiPriority w:val="28"/>
    <w:qFormat/>
    <w:rsid w:val="00AE7117"/>
    <w:pPr>
      <w:ind w:left="794"/>
    </w:pPr>
  </w:style>
  <w:style w:type="paragraph" w:styleId="Intestazione">
    <w:name w:val="header"/>
    <w:basedOn w:val="Normale"/>
    <w:link w:val="IntestazioneCarattere"/>
    <w:uiPriority w:val="57"/>
    <w:semiHidden/>
    <w:rsid w:val="00AE7117"/>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E7117"/>
    <w:rPr>
      <w:sz w:val="24"/>
    </w:rPr>
  </w:style>
  <w:style w:type="character" w:customStyle="1" w:styleId="Titolo1Carattere">
    <w:name w:val="Titolo 1 Carattere"/>
    <w:basedOn w:val="Carpredefinitoparagrafo"/>
    <w:link w:val="Titolo1"/>
    <w:uiPriority w:val="99"/>
    <w:semiHidden/>
    <w:rsid w:val="00AE711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AE711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AE7117"/>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AE7117"/>
    <w:rPr>
      <w:rFonts w:asciiTheme="majorHAnsi" w:eastAsiaTheme="majorEastAsia" w:hAnsiTheme="majorHAnsi" w:cstheme="majorBidi"/>
      <w:b/>
      <w:bCs/>
      <w:color w:val="4D4D4D"/>
      <w:sz w:val="26"/>
      <w:szCs w:val="26"/>
    </w:rPr>
  </w:style>
  <w:style w:type="character" w:customStyle="1" w:styleId="JUNAMES">
    <w:name w:val="JU_NAMES"/>
    <w:uiPriority w:val="17"/>
    <w:qFormat/>
    <w:rsid w:val="00AE7117"/>
    <w:rPr>
      <w:caps w:val="0"/>
      <w:smallCaps/>
    </w:rPr>
  </w:style>
  <w:style w:type="paragraph" w:customStyle="1" w:styleId="ECHRDecisionBody">
    <w:name w:val="ECHR_Decision_Body"/>
    <w:aliases w:val="Ju_Judges"/>
    <w:basedOn w:val="Normale"/>
    <w:uiPriority w:val="11"/>
    <w:qFormat/>
    <w:rsid w:val="00AE7117"/>
    <w:pPr>
      <w:tabs>
        <w:tab w:val="left" w:pos="567"/>
        <w:tab w:val="left" w:pos="1134"/>
      </w:tabs>
      <w:jc w:val="left"/>
    </w:pPr>
  </w:style>
  <w:style w:type="character" w:customStyle="1" w:styleId="Titolo3Carattere">
    <w:name w:val="Titolo 3 Carattere"/>
    <w:basedOn w:val="Carpredefinitoparagrafo"/>
    <w:link w:val="Titolo3"/>
    <w:uiPriority w:val="99"/>
    <w:semiHidden/>
    <w:rsid w:val="00AE7117"/>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AE7117"/>
    <w:pPr>
      <w:ind w:firstLine="284"/>
    </w:pPr>
  </w:style>
  <w:style w:type="character" w:customStyle="1" w:styleId="Titolo4Carattere">
    <w:name w:val="Titolo 4 Carattere"/>
    <w:basedOn w:val="Carpredefinitoparagrafo"/>
    <w:link w:val="Titolo4"/>
    <w:uiPriority w:val="99"/>
    <w:semiHidden/>
    <w:rsid w:val="00AE7117"/>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AE7117"/>
    <w:rPr>
      <w:rFonts w:asciiTheme="majorHAnsi" w:eastAsiaTheme="majorEastAsia" w:hAnsiTheme="majorHAnsi" w:cstheme="majorBidi"/>
      <w:b/>
      <w:bCs/>
      <w:color w:val="808080"/>
    </w:rPr>
  </w:style>
  <w:style w:type="character" w:styleId="Enfasidelicata">
    <w:name w:val="Subtle Emphasis"/>
    <w:uiPriority w:val="99"/>
    <w:semiHidden/>
    <w:qFormat/>
    <w:rsid w:val="00AE7117"/>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AE7117"/>
    <w:pPr>
      <w:keepNext/>
      <w:keepLines/>
      <w:spacing w:before="720" w:after="240"/>
      <w:outlineLvl w:val="0"/>
    </w:pPr>
    <w:rPr>
      <w:rFonts w:asciiTheme="majorHAnsi" w:hAnsiTheme="majorHAnsi"/>
      <w:sz w:val="28"/>
    </w:rPr>
  </w:style>
  <w:style w:type="character" w:styleId="Enfasicorsivo">
    <w:name w:val="Emphasis"/>
    <w:uiPriority w:val="99"/>
    <w:semiHidden/>
    <w:qFormat/>
    <w:rsid w:val="00AE7117"/>
    <w:rPr>
      <w:b/>
      <w:bCs/>
      <w:i/>
      <w:iCs/>
      <w:spacing w:val="10"/>
      <w:bdr w:val="none" w:sz="0" w:space="0" w:color="auto"/>
      <w:shd w:val="clear" w:color="auto" w:fill="auto"/>
    </w:rPr>
  </w:style>
  <w:style w:type="paragraph" w:styleId="Pidipagina">
    <w:name w:val="footer"/>
    <w:basedOn w:val="Normale"/>
    <w:link w:val="PidipaginaCarattere"/>
    <w:uiPriority w:val="57"/>
    <w:semiHidden/>
    <w:rsid w:val="00AE7117"/>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E7117"/>
    <w:rPr>
      <w:sz w:val="24"/>
    </w:rPr>
  </w:style>
  <w:style w:type="character" w:styleId="Rimandonotaapidipagina">
    <w:name w:val="footnote reference"/>
    <w:basedOn w:val="Carpredefinitoparagrafo"/>
    <w:uiPriority w:val="99"/>
    <w:semiHidden/>
    <w:rsid w:val="00AE7117"/>
    <w:rPr>
      <w:vertAlign w:val="superscript"/>
    </w:rPr>
  </w:style>
  <w:style w:type="paragraph" w:styleId="Testonotaapidipagina">
    <w:name w:val="footnote text"/>
    <w:basedOn w:val="Normale"/>
    <w:link w:val="TestonotaapidipaginaCarattere"/>
    <w:uiPriority w:val="99"/>
    <w:semiHidden/>
    <w:rsid w:val="00AE7117"/>
    <w:rPr>
      <w:sz w:val="20"/>
      <w:szCs w:val="20"/>
    </w:rPr>
  </w:style>
  <w:style w:type="character" w:customStyle="1" w:styleId="TestonotaapidipaginaCarattere">
    <w:name w:val="Testo nota a piè di pagina Carattere"/>
    <w:basedOn w:val="Carpredefinitoparagrafo"/>
    <w:link w:val="Testonotaapidipagina"/>
    <w:uiPriority w:val="99"/>
    <w:semiHidden/>
    <w:rsid w:val="00AE7117"/>
    <w:rPr>
      <w:rFonts w:eastAsiaTheme="minorEastAsia"/>
      <w:sz w:val="20"/>
      <w:szCs w:val="20"/>
    </w:rPr>
  </w:style>
  <w:style w:type="character" w:customStyle="1" w:styleId="Titolo6Carattere">
    <w:name w:val="Titolo 6 Carattere"/>
    <w:basedOn w:val="Carpredefinitoparagrafo"/>
    <w:link w:val="Titolo6"/>
    <w:uiPriority w:val="99"/>
    <w:semiHidden/>
    <w:rsid w:val="00AE7117"/>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AE7117"/>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E7117"/>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E7117"/>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E7117"/>
    <w:rPr>
      <w:color w:val="0072BC" w:themeColor="hyperlink"/>
      <w:u w:val="single"/>
    </w:rPr>
  </w:style>
  <w:style w:type="character" w:styleId="Enfasiintensa">
    <w:name w:val="Intense Emphasis"/>
    <w:uiPriority w:val="99"/>
    <w:semiHidden/>
    <w:qFormat/>
    <w:rsid w:val="00AE7117"/>
    <w:rPr>
      <w:b/>
      <w:bCs/>
    </w:rPr>
  </w:style>
  <w:style w:type="paragraph" w:styleId="Citazioneintensa">
    <w:name w:val="Intense Quote"/>
    <w:basedOn w:val="Normale"/>
    <w:next w:val="Normale"/>
    <w:link w:val="CitazioneintensaCarattere"/>
    <w:uiPriority w:val="99"/>
    <w:semiHidden/>
    <w:qFormat/>
    <w:rsid w:val="00AE7117"/>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AE7117"/>
    <w:rPr>
      <w:rFonts w:eastAsiaTheme="minorEastAsia"/>
      <w:b/>
      <w:bCs/>
      <w:i/>
      <w:iCs/>
      <w:lang w:bidi="en-US"/>
    </w:rPr>
  </w:style>
  <w:style w:type="character" w:styleId="Riferimentointenso">
    <w:name w:val="Intense Reference"/>
    <w:uiPriority w:val="99"/>
    <w:semiHidden/>
    <w:qFormat/>
    <w:rsid w:val="00AE7117"/>
    <w:rPr>
      <w:smallCaps/>
      <w:spacing w:val="5"/>
      <w:u w:val="single"/>
    </w:rPr>
  </w:style>
  <w:style w:type="paragraph" w:styleId="Paragrafoelenco">
    <w:name w:val="List Paragraph"/>
    <w:basedOn w:val="Normale"/>
    <w:uiPriority w:val="99"/>
    <w:semiHidden/>
    <w:qFormat/>
    <w:rsid w:val="00AE7117"/>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AE7117"/>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AE7117"/>
    <w:rPr>
      <w:rFonts w:eastAsiaTheme="minorEastAsia"/>
      <w:i/>
      <w:iCs/>
      <w:lang w:bidi="en-US"/>
    </w:rPr>
  </w:style>
  <w:style w:type="character" w:styleId="Riferimentodelicato">
    <w:name w:val="Subtle Reference"/>
    <w:uiPriority w:val="99"/>
    <w:semiHidden/>
    <w:qFormat/>
    <w:rsid w:val="00AE7117"/>
    <w:rPr>
      <w:smallCaps/>
    </w:rPr>
  </w:style>
  <w:style w:type="table" w:styleId="Grigliatabella">
    <w:name w:val="Table Grid"/>
    <w:basedOn w:val="Tabellanormale"/>
    <w:uiPriority w:val="59"/>
    <w:semiHidden/>
    <w:rsid w:val="00AE711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AE711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E711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E711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E7117"/>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E7117"/>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AE711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E711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AE7117"/>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E711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AE7117"/>
    <w:pPr>
      <w:tabs>
        <w:tab w:val="center" w:pos="851"/>
        <w:tab w:val="center" w:pos="6407"/>
      </w:tabs>
      <w:spacing w:before="720"/>
      <w:jc w:val="left"/>
    </w:pPr>
  </w:style>
  <w:style w:type="paragraph" w:customStyle="1" w:styleId="JuParaLast">
    <w:name w:val="Ju_Para_Last"/>
    <w:basedOn w:val="Normale"/>
    <w:next w:val="ECHRPara"/>
    <w:uiPriority w:val="30"/>
    <w:qFormat/>
    <w:rsid w:val="00AE7117"/>
    <w:pPr>
      <w:keepNext/>
      <w:keepLines/>
      <w:spacing w:before="240"/>
      <w:ind w:firstLine="284"/>
    </w:pPr>
  </w:style>
  <w:style w:type="paragraph" w:customStyle="1" w:styleId="JuCase">
    <w:name w:val="Ju_Case"/>
    <w:basedOn w:val="Normale"/>
    <w:next w:val="ECHRPara"/>
    <w:uiPriority w:val="10"/>
    <w:rsid w:val="00AE7117"/>
    <w:pPr>
      <w:ind w:firstLine="284"/>
    </w:pPr>
    <w:rPr>
      <w:b/>
    </w:rPr>
  </w:style>
  <w:style w:type="paragraph" w:customStyle="1" w:styleId="JuList">
    <w:name w:val="Ju_List"/>
    <w:basedOn w:val="Normale"/>
    <w:uiPriority w:val="28"/>
    <w:qFormat/>
    <w:rsid w:val="00AE7117"/>
    <w:pPr>
      <w:ind w:left="340" w:hanging="340"/>
    </w:pPr>
  </w:style>
  <w:style w:type="paragraph" w:customStyle="1" w:styleId="JuParaSub">
    <w:name w:val="Ju_Para_Sub"/>
    <w:basedOn w:val="ECHRPara"/>
    <w:uiPriority w:val="13"/>
    <w:unhideWhenUsed/>
    <w:qFormat/>
    <w:rsid w:val="00AE7117"/>
    <w:pPr>
      <w:ind w:left="284"/>
    </w:pPr>
  </w:style>
  <w:style w:type="character" w:styleId="Numeropagina">
    <w:name w:val="page number"/>
    <w:uiPriority w:val="99"/>
    <w:semiHidden/>
    <w:rsid w:val="00E77CB3"/>
    <w:rPr>
      <w:rFonts w:ascii="Times New Roman" w:hAnsi="Times New Roman" w:cs="Times New Roman"/>
      <w:sz w:val="18"/>
    </w:rPr>
  </w:style>
  <w:style w:type="paragraph" w:customStyle="1" w:styleId="JuQuotSub">
    <w:name w:val="Ju_Quot_Sub"/>
    <w:basedOn w:val="ECHRParaQuote"/>
    <w:uiPriority w:val="15"/>
    <w:qFormat/>
    <w:rsid w:val="00AE7117"/>
    <w:pPr>
      <w:ind w:left="567"/>
    </w:pPr>
  </w:style>
  <w:style w:type="paragraph" w:customStyle="1" w:styleId="JuTitle">
    <w:name w:val="Ju_Title"/>
    <w:basedOn w:val="Normale"/>
    <w:next w:val="ECHRPara"/>
    <w:uiPriority w:val="3"/>
    <w:semiHidden/>
    <w:qFormat/>
    <w:rsid w:val="00AE7117"/>
    <w:pPr>
      <w:spacing w:before="720" w:after="240"/>
      <w:jc w:val="center"/>
      <w:outlineLvl w:val="0"/>
    </w:pPr>
    <w:rPr>
      <w:rFonts w:asciiTheme="majorHAnsi" w:hAnsiTheme="majorHAnsi"/>
      <w:b/>
      <w:caps/>
    </w:r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AE7117"/>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AE7117"/>
    <w:pPr>
      <w:ind w:left="833" w:hanging="357"/>
      <w:outlineLvl w:val="3"/>
    </w:pPr>
    <w:rPr>
      <w:b/>
      <w:i w:val="0"/>
      <w:sz w:val="20"/>
    </w:rPr>
  </w:style>
  <w:style w:type="paragraph" w:styleId="Sottotitolo">
    <w:name w:val="Subtitle"/>
    <w:basedOn w:val="Normale"/>
    <w:next w:val="Normale"/>
    <w:link w:val="SottotitoloCarattere"/>
    <w:uiPriority w:val="99"/>
    <w:semiHidden/>
    <w:qFormat/>
    <w:rsid w:val="00AE7117"/>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AE7117"/>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AE711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AE711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E711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AE7117"/>
    <w:pPr>
      <w:tabs>
        <w:tab w:val="clear" w:pos="357"/>
      </w:tabs>
      <w:outlineLvl w:val="1"/>
    </w:pPr>
    <w:rPr>
      <w:b/>
    </w:rPr>
  </w:style>
  <w:style w:type="paragraph" w:customStyle="1" w:styleId="OpiHi">
    <w:name w:val="Opi_H_i"/>
    <w:basedOn w:val="ECHRHeading4"/>
    <w:uiPriority w:val="44"/>
    <w:qFormat/>
    <w:rsid w:val="00AE7117"/>
    <w:pPr>
      <w:ind w:left="1037" w:hanging="357"/>
      <w:outlineLvl w:val="4"/>
    </w:pPr>
    <w:rPr>
      <w:b w:val="0"/>
      <w:i/>
    </w:rPr>
  </w:style>
  <w:style w:type="paragraph" w:customStyle="1" w:styleId="OpiPara">
    <w:name w:val="Opi_Para"/>
    <w:basedOn w:val="ECHRPara"/>
    <w:uiPriority w:val="46"/>
    <w:qFormat/>
    <w:rsid w:val="00AE7117"/>
  </w:style>
  <w:style w:type="paragraph" w:customStyle="1" w:styleId="OpiParaSub">
    <w:name w:val="Opi_Para_Sub"/>
    <w:basedOn w:val="JuParaSub"/>
    <w:uiPriority w:val="47"/>
    <w:unhideWhenUsed/>
    <w:qFormat/>
    <w:rsid w:val="00AE7117"/>
  </w:style>
  <w:style w:type="paragraph" w:customStyle="1" w:styleId="OpiQuot">
    <w:name w:val="Opi_Quot"/>
    <w:basedOn w:val="ECHRParaQuote"/>
    <w:uiPriority w:val="48"/>
    <w:qFormat/>
    <w:rsid w:val="00AE7117"/>
  </w:style>
  <w:style w:type="paragraph" w:customStyle="1" w:styleId="OpiQuotSub">
    <w:name w:val="Opi_Quot_Sub"/>
    <w:basedOn w:val="JuQuotSub"/>
    <w:uiPriority w:val="49"/>
    <w:qFormat/>
    <w:rsid w:val="00AE7117"/>
  </w:style>
  <w:style w:type="character" w:customStyle="1" w:styleId="ECHRParaChar">
    <w:name w:val="ECHR_Para Char"/>
    <w:aliases w:val="Ju_Para Char"/>
    <w:link w:val="ECHRPara"/>
    <w:uiPriority w:val="12"/>
    <w:rsid w:val="000C6143"/>
    <w:rPr>
      <w:rFonts w:eastAsiaTheme="minorEastAsia"/>
      <w:sz w:val="24"/>
    </w:rPr>
  </w:style>
  <w:style w:type="paragraph" w:customStyle="1" w:styleId="OpiTranslation">
    <w:name w:val="Opi_Translation"/>
    <w:basedOn w:val="Normale"/>
    <w:next w:val="OpiPara"/>
    <w:uiPriority w:val="40"/>
    <w:qFormat/>
    <w:rsid w:val="00AE7117"/>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F826-92C8-4363-B917-6D0A0C155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B2AF4-389B-407D-A222-CF92726A73AE}">
  <ds:schemaRefs>
    <ds:schemaRef ds:uri="http://schemas.microsoft.com/sharepoint/v3/contenttype/forms"/>
  </ds:schemaRefs>
</ds:datastoreItem>
</file>

<file path=customXml/itemProps3.xml><?xml version="1.0" encoding="utf-8"?>
<ds:datastoreItem xmlns:ds="http://schemas.openxmlformats.org/officeDocument/2006/customXml" ds:itemID="{58155869-04E9-4978-8A49-AA47444968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92CE56-FFBB-4660-89FD-48EA94F3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4820</Words>
  <Characters>27478</Characters>
  <Application>Microsoft Office Word</Application>
  <DocSecurity>0</DocSecurity>
  <Lines>228</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2016-09-20T11:15:00Z</dcterms:created>
  <dcterms:modified xsi:type="dcterms:W3CDTF">2016-09-20T11:15:00Z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